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6B2" w:rsidRDefault="00D15E6A">
      <w:pPr>
        <w:jc w:val="center"/>
        <w:rPr>
          <w:rFonts w:ascii="方正小标宋简体" w:eastAsia="方正小标宋简体" w:hAnsi="宋体" w:cs="宋体"/>
          <w:b/>
          <w:bCs/>
          <w:sz w:val="36"/>
          <w:szCs w:val="36"/>
        </w:rPr>
      </w:pPr>
      <w:r>
        <w:rPr>
          <w:rFonts w:ascii="方正小标宋简体" w:eastAsia="方正小标宋简体" w:hAnsi="宋体" w:cs="宋体" w:hint="eastAsia"/>
          <w:b/>
          <w:bCs/>
          <w:sz w:val="36"/>
          <w:szCs w:val="36"/>
        </w:rPr>
        <w:t>福建省国资委资产清查技术服务项目公告</w:t>
      </w:r>
    </w:p>
    <w:p w:rsidR="00C806B2" w:rsidRDefault="00C806B2">
      <w:pPr>
        <w:jc w:val="center"/>
        <w:rPr>
          <w:rFonts w:ascii="宋体" w:eastAsia="宋体" w:hAnsi="宋体" w:cs="宋体"/>
          <w:b/>
          <w:bCs/>
          <w:sz w:val="24"/>
        </w:rPr>
      </w:pPr>
    </w:p>
    <w:p w:rsidR="00C806B2" w:rsidRDefault="00D15E6A">
      <w:pPr>
        <w:spacing w:line="560" w:lineRule="exact"/>
        <w:ind w:firstLineChars="200" w:firstLine="640"/>
        <w:rPr>
          <w:rFonts w:ascii="仿宋" w:eastAsia="仿宋" w:hAnsi="仿宋" w:cs="仿宋"/>
          <w:sz w:val="32"/>
          <w:szCs w:val="32"/>
        </w:rPr>
      </w:pPr>
      <w:r>
        <w:rPr>
          <w:rFonts w:ascii="仿宋_GB2312" w:eastAsia="仿宋_GB2312"/>
          <w:sz w:val="32"/>
          <w:szCs w:val="32"/>
        </w:rPr>
        <w:t>为进一步规范国有资产管理，提升资产使用效能，</w:t>
      </w:r>
      <w:r>
        <w:rPr>
          <w:rFonts w:ascii="仿宋_GB2312" w:eastAsia="仿宋_GB2312" w:hint="eastAsia"/>
          <w:sz w:val="32"/>
          <w:szCs w:val="32"/>
        </w:rPr>
        <w:t>根据福建省财政厅《关于开展全省行政事业单位资产清查工作的通知》（闽财资</w:t>
      </w:r>
      <w:r>
        <w:rPr>
          <w:rFonts w:ascii="仿宋_GB2312" w:eastAsia="仿宋_GB2312" w:hAnsi="华文仿宋" w:hint="eastAsia"/>
          <w:sz w:val="32"/>
          <w:szCs w:val="32"/>
        </w:rPr>
        <w:t>〔2025〕</w:t>
      </w:r>
      <w:r>
        <w:rPr>
          <w:rFonts w:ascii="仿宋_GB2312" w:eastAsia="仿宋_GB2312" w:hint="eastAsia"/>
          <w:sz w:val="32"/>
          <w:szCs w:val="32"/>
        </w:rPr>
        <w:t>1号）要求</w:t>
      </w:r>
      <w:r>
        <w:rPr>
          <w:rFonts w:ascii="仿宋" w:eastAsia="仿宋" w:hAnsi="仿宋" w:cs="仿宋" w:hint="eastAsia"/>
          <w:sz w:val="32"/>
          <w:szCs w:val="32"/>
        </w:rPr>
        <w:t>，经研究，决定就我委的资产清查技术项目向社会公开询阶。现将有关事项公告如下：</w:t>
      </w:r>
    </w:p>
    <w:p w:rsidR="00C806B2" w:rsidRDefault="00D15E6A">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一、项目名称</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福建省国资委资产清查技术服务项目</w:t>
      </w:r>
    </w:p>
    <w:p w:rsidR="00C806B2" w:rsidRDefault="00D15E6A">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二、项目内容</w:t>
      </w:r>
    </w:p>
    <w:p w:rsidR="00C806B2" w:rsidRDefault="00D15E6A">
      <w:pPr>
        <w:spacing w:line="560" w:lineRule="exact"/>
        <w:ind w:firstLineChars="200" w:firstLine="640"/>
        <w:rPr>
          <w:rFonts w:ascii="仿宋_GB2312" w:eastAsia="仿宋_GB2312"/>
          <w:sz w:val="32"/>
          <w:szCs w:val="32"/>
        </w:rPr>
      </w:pPr>
      <w:r>
        <w:rPr>
          <w:rFonts w:ascii="仿宋_GB2312" w:eastAsia="仿宋_GB2312" w:hint="eastAsia"/>
          <w:sz w:val="32"/>
          <w:szCs w:val="32"/>
        </w:rPr>
        <w:t>结合预算管理一体化系统资产模块台账信息，</w:t>
      </w:r>
      <w:r>
        <w:rPr>
          <w:rFonts w:ascii="仿宋_GB2312" w:eastAsia="仿宋_GB2312"/>
          <w:sz w:val="32"/>
          <w:szCs w:val="32"/>
        </w:rPr>
        <w:t>运用专业化手段协助完成资产实地盘点、分类登记、数据录入及资产核查等工作。</w:t>
      </w:r>
    </w:p>
    <w:p w:rsidR="00C806B2" w:rsidRDefault="00D15E6A">
      <w:pPr>
        <w:spacing w:line="560" w:lineRule="exact"/>
        <w:ind w:firstLineChars="200" w:firstLine="640"/>
        <w:rPr>
          <w:rFonts w:ascii="仿宋_GB2312" w:eastAsia="仿宋_GB2312"/>
          <w:sz w:val="32"/>
          <w:szCs w:val="32"/>
        </w:rPr>
      </w:pPr>
      <w:r>
        <w:rPr>
          <w:rFonts w:ascii="仿宋_GB2312" w:eastAsia="仿宋_GB2312"/>
          <w:sz w:val="32"/>
          <w:szCs w:val="32"/>
        </w:rPr>
        <w:t>资产</w:t>
      </w:r>
      <w:r>
        <w:rPr>
          <w:rFonts w:ascii="仿宋_GB2312" w:eastAsia="仿宋_GB2312" w:hint="eastAsia"/>
          <w:sz w:val="32"/>
          <w:szCs w:val="32"/>
        </w:rPr>
        <w:t>清查</w:t>
      </w:r>
      <w:r>
        <w:rPr>
          <w:rFonts w:ascii="仿宋_GB2312" w:eastAsia="仿宋_GB2312"/>
          <w:sz w:val="32"/>
          <w:szCs w:val="32"/>
        </w:rPr>
        <w:t>盘点以 2025 年 3 月 31 日为基准日，全面梳理该日期前的各类固定资产，旨在保证资产盘点工作全面、准确、无遗漏，切实维护资产信息的完整性与可靠性。</w:t>
      </w:r>
    </w:p>
    <w:p w:rsidR="00C806B2" w:rsidRDefault="00D15E6A">
      <w:pPr>
        <w:spacing w:line="560" w:lineRule="exact"/>
        <w:rPr>
          <w:rFonts w:ascii="黑体" w:eastAsia="黑体" w:hAnsi="黑体" w:cs="仿宋"/>
          <w:sz w:val="32"/>
          <w:szCs w:val="32"/>
        </w:rPr>
      </w:pPr>
      <w:r>
        <w:rPr>
          <w:rFonts w:ascii="黑体" w:eastAsia="黑体" w:hAnsi="黑体" w:cs="仿宋" w:hint="eastAsia"/>
          <w:sz w:val="32"/>
          <w:szCs w:val="32"/>
        </w:rPr>
        <w:t xml:space="preserve">    三、相关要求</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（一）报价单位根据项目内容科学开展价格测算，按要求和项目内容填写《报价单》（详见附件）。</w:t>
      </w:r>
    </w:p>
    <w:p w:rsidR="00C82EA5"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（二）报价包含项目相关税费等一切费用。我</w:t>
      </w:r>
      <w:r w:rsidR="004C08E8">
        <w:rPr>
          <w:rFonts w:ascii="仿宋" w:eastAsia="仿宋" w:hAnsi="仿宋" w:cs="仿宋" w:hint="eastAsia"/>
          <w:sz w:val="32"/>
          <w:szCs w:val="32"/>
        </w:rPr>
        <w:t>委</w:t>
      </w:r>
      <w:r>
        <w:rPr>
          <w:rFonts w:ascii="仿宋" w:eastAsia="仿宋" w:hAnsi="仿宋" w:cs="仿宋" w:hint="eastAsia"/>
          <w:sz w:val="32"/>
          <w:szCs w:val="32"/>
        </w:rPr>
        <w:t>将综合考虑商务要求偏离程度等因素，采用最低价评标法，按照有效报价由低到高的顺序，原则上以最低报价推选成交候选人，超出最高限价的报价或低于常理报价视为无效报价。</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（三）报价单位是企业或个体工商户的，需提供经市场监管部门注册的有效营业执照复印件；是事业单位的，需提</w:t>
      </w:r>
      <w:r>
        <w:rPr>
          <w:rFonts w:ascii="仿宋" w:eastAsia="仿宋" w:hAnsi="仿宋" w:cs="仿宋" w:hint="eastAsia"/>
          <w:sz w:val="32"/>
          <w:szCs w:val="32"/>
        </w:rPr>
        <w:lastRenderedPageBreak/>
        <w:t>供有效的“事业单位法人证书”复印件；非企业专业机构的，需提供执业许可等证明材料复印件。</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（四）报价单位须提供参加本次报价前3年内在经营活动中没有重大违法记录和失信行为的书面声明函，并附“信用中国(www.creditchina.gov.cn)”网站查询结果、“中国政府采购网(www.ccgp.gov.cn)”网站查询结果。</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报价提供的上述资料均须逐页加盖单位公章，且装订成一册后加盖骑缝章，并用信封或档案袋进行密封，封口处加盖单位公章。信封或档案袋的封面须注明：项目名称、报价单位、报价日期、联系人、联系电话。</w:t>
      </w:r>
    </w:p>
    <w:p w:rsidR="00C806B2" w:rsidRDefault="00D15E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不满足上述要求的报价文件视为无效报价。请有意向于</w:t>
      </w:r>
      <w:r>
        <w:rPr>
          <w:rFonts w:ascii="仿宋" w:eastAsia="仿宋" w:hAnsi="仿宋" w:cs="仿宋" w:hint="eastAsia"/>
          <w:color w:val="0000FF"/>
          <w:sz w:val="32"/>
          <w:szCs w:val="32"/>
        </w:rPr>
        <w:t>2025年5月16日17:00（北京时间）</w:t>
      </w:r>
      <w:r>
        <w:rPr>
          <w:rFonts w:ascii="仿宋" w:eastAsia="仿宋" w:hAnsi="仿宋" w:cs="仿宋" w:hint="eastAsia"/>
          <w:sz w:val="32"/>
          <w:szCs w:val="32"/>
        </w:rPr>
        <w:t>前，将报价文件送交我</w:t>
      </w:r>
      <w:r w:rsidR="004C08E8">
        <w:rPr>
          <w:rFonts w:ascii="仿宋" w:eastAsia="仿宋" w:hAnsi="仿宋" w:cs="仿宋" w:hint="eastAsia"/>
          <w:sz w:val="32"/>
          <w:szCs w:val="32"/>
        </w:rPr>
        <w:t>委</w:t>
      </w:r>
      <w:r>
        <w:rPr>
          <w:rFonts w:ascii="仿宋" w:eastAsia="仿宋" w:hAnsi="仿宋" w:cs="仿宋" w:hint="eastAsia"/>
          <w:sz w:val="32"/>
          <w:szCs w:val="32"/>
        </w:rPr>
        <w:t>，逾期不予受理。</w:t>
      </w:r>
    </w:p>
    <w:p w:rsidR="00C806B2" w:rsidRDefault="00D15E6A">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采购人：</w:t>
      </w:r>
      <w:r>
        <w:rPr>
          <w:rFonts w:ascii="仿宋" w:eastAsia="仿宋" w:hAnsi="仿宋" w:cs="仿宋" w:hint="eastAsia"/>
          <w:sz w:val="32"/>
          <w:szCs w:val="32"/>
        </w:rPr>
        <w:t>福建省国资委</w:t>
      </w:r>
    </w:p>
    <w:p w:rsidR="00C806B2" w:rsidRDefault="00D15E6A">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联系地址：</w:t>
      </w:r>
      <w:r>
        <w:rPr>
          <w:rFonts w:ascii="仿宋" w:eastAsia="仿宋" w:hAnsi="仿宋" w:cs="仿宋" w:hint="eastAsia"/>
          <w:sz w:val="32"/>
          <w:szCs w:val="32"/>
        </w:rPr>
        <w:t>福州市鼓楼区东大路73号1号楼</w:t>
      </w:r>
    </w:p>
    <w:p w:rsidR="00C806B2" w:rsidRDefault="00D15E6A">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联系人：袁斌、</w:t>
      </w:r>
      <w:r>
        <w:rPr>
          <w:rFonts w:ascii="仿宋" w:eastAsia="仿宋" w:hAnsi="仿宋" w:cs="仿宋" w:hint="eastAsia"/>
          <w:color w:val="0000FF"/>
          <w:sz w:val="32"/>
          <w:szCs w:val="32"/>
        </w:rPr>
        <w:t>叶云燕</w:t>
      </w:r>
    </w:p>
    <w:p w:rsidR="00C806B2" w:rsidRDefault="00D15E6A">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联系电话：</w:t>
      </w:r>
      <w:r>
        <w:rPr>
          <w:rFonts w:ascii="仿宋" w:eastAsia="仿宋" w:hAnsi="仿宋" w:cs="仿宋" w:hint="eastAsia"/>
          <w:color w:val="0000FF"/>
          <w:sz w:val="32"/>
          <w:szCs w:val="32"/>
        </w:rPr>
        <w:t>0591-87668658</w:t>
      </w:r>
    </w:p>
    <w:p w:rsidR="00C806B2" w:rsidRDefault="00C806B2">
      <w:pPr>
        <w:spacing w:line="600" w:lineRule="exact"/>
        <w:ind w:firstLineChars="200" w:firstLine="640"/>
        <w:rPr>
          <w:rFonts w:ascii="仿宋" w:eastAsia="仿宋" w:hAnsi="仿宋" w:cs="仿宋"/>
          <w:sz w:val="32"/>
          <w:szCs w:val="32"/>
        </w:rPr>
      </w:pPr>
    </w:p>
    <w:p w:rsidR="00C82EA5" w:rsidRDefault="00C82EA5">
      <w:pPr>
        <w:spacing w:line="600" w:lineRule="exact"/>
        <w:ind w:firstLineChars="200" w:firstLine="640"/>
        <w:rPr>
          <w:rFonts w:ascii="仿宋" w:eastAsia="仿宋" w:hAnsi="仿宋" w:cs="仿宋"/>
          <w:sz w:val="32"/>
          <w:szCs w:val="32"/>
        </w:rPr>
      </w:pPr>
    </w:p>
    <w:p w:rsidR="00C82EA5" w:rsidRPr="00C82EA5" w:rsidRDefault="00C82EA5">
      <w:pPr>
        <w:spacing w:line="600" w:lineRule="exact"/>
        <w:ind w:firstLineChars="200" w:firstLine="640"/>
        <w:rPr>
          <w:rFonts w:ascii="仿宋" w:eastAsia="仿宋" w:hAnsi="仿宋" w:cs="仿宋"/>
          <w:sz w:val="32"/>
          <w:szCs w:val="32"/>
        </w:rPr>
      </w:pPr>
    </w:p>
    <w:p w:rsidR="00C806B2" w:rsidRDefault="00D15E6A">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福建省国资委  </w:t>
      </w:r>
    </w:p>
    <w:p w:rsidR="00C806B2" w:rsidRDefault="00D15E6A">
      <w:pPr>
        <w:ind w:firstLineChars="200" w:firstLine="640"/>
        <w:jc w:val="right"/>
        <w:rPr>
          <w:rFonts w:ascii="仿宋" w:eastAsia="仿宋" w:hAnsi="仿宋" w:cs="仿宋"/>
          <w:color w:val="0000FF"/>
          <w:sz w:val="32"/>
          <w:szCs w:val="32"/>
        </w:rPr>
      </w:pPr>
      <w:r>
        <w:rPr>
          <w:rFonts w:ascii="仿宋" w:eastAsia="仿宋" w:hAnsi="仿宋" w:cs="仿宋" w:hint="eastAsia"/>
          <w:sz w:val="32"/>
          <w:szCs w:val="32"/>
        </w:rPr>
        <w:t>2025年</w:t>
      </w:r>
      <w:r>
        <w:rPr>
          <w:rFonts w:ascii="仿宋" w:eastAsia="仿宋" w:hAnsi="仿宋" w:cs="仿宋" w:hint="eastAsia"/>
          <w:color w:val="0000FF"/>
          <w:sz w:val="32"/>
          <w:szCs w:val="32"/>
        </w:rPr>
        <w:t>5月1</w:t>
      </w:r>
      <w:r w:rsidR="00A3068D">
        <w:rPr>
          <w:rFonts w:ascii="仿宋" w:eastAsia="仿宋" w:hAnsi="仿宋" w:cs="仿宋" w:hint="eastAsia"/>
          <w:color w:val="0000FF"/>
          <w:sz w:val="32"/>
          <w:szCs w:val="32"/>
        </w:rPr>
        <w:t>4</w:t>
      </w:r>
      <w:r>
        <w:rPr>
          <w:rFonts w:ascii="仿宋" w:eastAsia="仿宋" w:hAnsi="仿宋" w:cs="仿宋" w:hint="eastAsia"/>
          <w:color w:val="0000FF"/>
          <w:sz w:val="32"/>
          <w:szCs w:val="32"/>
        </w:rPr>
        <w:t>日</w:t>
      </w:r>
    </w:p>
    <w:p w:rsidR="00C806B2" w:rsidRDefault="00C806B2">
      <w:pPr>
        <w:spacing w:line="500" w:lineRule="exact"/>
        <w:jc w:val="left"/>
        <w:rPr>
          <w:rFonts w:ascii="仿宋" w:eastAsia="仿宋" w:hAnsi="仿宋" w:cs="仿宋"/>
          <w:sz w:val="32"/>
          <w:szCs w:val="32"/>
        </w:rPr>
      </w:pPr>
    </w:p>
    <w:p w:rsidR="00211C79" w:rsidRDefault="00211C79">
      <w:pPr>
        <w:spacing w:line="500" w:lineRule="exact"/>
        <w:jc w:val="left"/>
        <w:rPr>
          <w:rFonts w:ascii="仿宋" w:eastAsia="仿宋" w:hAnsi="仿宋" w:cs="仿宋"/>
          <w:sz w:val="32"/>
          <w:szCs w:val="32"/>
        </w:rPr>
      </w:pPr>
    </w:p>
    <w:p w:rsidR="00C806B2" w:rsidRDefault="00D15E6A">
      <w:pPr>
        <w:spacing w:line="500" w:lineRule="exact"/>
        <w:jc w:val="left"/>
        <w:rPr>
          <w:rFonts w:ascii="仿宋" w:eastAsia="仿宋" w:hAnsi="仿宋" w:cs="仿宋"/>
          <w:sz w:val="32"/>
          <w:szCs w:val="32"/>
        </w:rPr>
      </w:pPr>
      <w:r>
        <w:rPr>
          <w:rFonts w:ascii="仿宋" w:eastAsia="仿宋" w:hAnsi="仿宋" w:cs="仿宋" w:hint="eastAsia"/>
          <w:sz w:val="32"/>
          <w:szCs w:val="32"/>
        </w:rPr>
        <w:lastRenderedPageBreak/>
        <w:t>附件：</w:t>
      </w:r>
    </w:p>
    <w:p w:rsidR="00C806B2" w:rsidRDefault="00D15E6A">
      <w:pPr>
        <w:jc w:val="center"/>
        <w:rPr>
          <w:rFonts w:ascii="仿宋" w:eastAsia="仿宋" w:hAnsi="仿宋" w:cs="仿宋"/>
          <w:b/>
          <w:bCs/>
          <w:sz w:val="32"/>
          <w:szCs w:val="32"/>
        </w:rPr>
      </w:pPr>
      <w:r>
        <w:rPr>
          <w:rFonts w:ascii="仿宋" w:eastAsia="仿宋" w:hAnsi="仿宋" w:cs="仿宋" w:hint="eastAsia"/>
          <w:b/>
          <w:bCs/>
          <w:sz w:val="32"/>
          <w:szCs w:val="32"/>
        </w:rPr>
        <w:t>福建省国资委资产清查技术</w:t>
      </w:r>
      <w:r w:rsidR="004C08E8">
        <w:rPr>
          <w:rFonts w:ascii="仿宋" w:eastAsia="仿宋" w:hAnsi="仿宋" w:cs="仿宋" w:hint="eastAsia"/>
          <w:b/>
          <w:bCs/>
          <w:sz w:val="32"/>
          <w:szCs w:val="32"/>
        </w:rPr>
        <w:t>项</w:t>
      </w:r>
      <w:r>
        <w:rPr>
          <w:rFonts w:ascii="仿宋" w:eastAsia="仿宋" w:hAnsi="仿宋" w:cs="仿宋" w:hint="eastAsia"/>
          <w:b/>
          <w:bCs/>
          <w:sz w:val="32"/>
          <w:szCs w:val="32"/>
        </w:rPr>
        <w:t>目报价单</w:t>
      </w:r>
    </w:p>
    <w:p w:rsidR="00C806B2" w:rsidRDefault="00D15E6A">
      <w:pPr>
        <w:rPr>
          <w:rFonts w:ascii="仿宋" w:eastAsia="仿宋" w:hAnsi="仿宋" w:cs="仿宋"/>
          <w:sz w:val="28"/>
          <w:szCs w:val="28"/>
          <w:u w:val="single"/>
        </w:rPr>
      </w:pPr>
      <w:r>
        <w:rPr>
          <w:rFonts w:ascii="仿宋" w:eastAsia="仿宋" w:hAnsi="仿宋" w:cs="仿宋" w:hint="eastAsia"/>
          <w:sz w:val="28"/>
          <w:szCs w:val="28"/>
        </w:rPr>
        <w:t>报价单位（盖章）：报价日期：</w:t>
      </w:r>
      <w:r>
        <w:rPr>
          <w:rFonts w:ascii="仿宋" w:eastAsia="仿宋" w:hAnsi="仿宋" w:cs="仿宋" w:hint="eastAsia"/>
          <w:sz w:val="28"/>
          <w:szCs w:val="28"/>
          <w:u w:val="single"/>
        </w:rPr>
        <w:t xml:space="preserve">     年   月   日</w:t>
      </w:r>
    </w:p>
    <w:p w:rsidR="00C806B2" w:rsidRDefault="00D15E6A">
      <w:pPr>
        <w:rPr>
          <w:rFonts w:ascii="仿宋" w:eastAsia="仿宋" w:hAnsi="仿宋" w:cs="仿宋"/>
          <w:sz w:val="28"/>
          <w:szCs w:val="28"/>
          <w:u w:val="single"/>
        </w:rPr>
      </w:pPr>
      <w:r>
        <w:rPr>
          <w:rFonts w:ascii="仿宋" w:eastAsia="仿宋" w:hAnsi="仿宋" w:cs="仿宋" w:hint="eastAsia"/>
          <w:sz w:val="28"/>
          <w:szCs w:val="28"/>
        </w:rPr>
        <w:t>报价单位联系人：         联系电话：</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9"/>
        <w:gridCol w:w="704"/>
        <w:gridCol w:w="708"/>
        <w:gridCol w:w="3340"/>
        <w:gridCol w:w="475"/>
        <w:gridCol w:w="475"/>
        <w:gridCol w:w="1100"/>
        <w:gridCol w:w="1005"/>
      </w:tblGrid>
      <w:tr w:rsidR="00C806B2" w:rsidTr="007A6EC8">
        <w:tc>
          <w:tcPr>
            <w:tcW w:w="379"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序号</w:t>
            </w:r>
          </w:p>
        </w:tc>
        <w:tc>
          <w:tcPr>
            <w:tcW w:w="417" w:type="pct"/>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类别</w:t>
            </w:r>
          </w:p>
        </w:tc>
        <w:tc>
          <w:tcPr>
            <w:tcW w:w="419"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项目内容</w:t>
            </w:r>
          </w:p>
        </w:tc>
        <w:tc>
          <w:tcPr>
            <w:tcW w:w="1977"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事项说明</w:t>
            </w:r>
          </w:p>
        </w:tc>
        <w:tc>
          <w:tcPr>
            <w:tcW w:w="281"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数量</w:t>
            </w:r>
          </w:p>
        </w:tc>
        <w:tc>
          <w:tcPr>
            <w:tcW w:w="281"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单位</w:t>
            </w:r>
          </w:p>
        </w:tc>
        <w:tc>
          <w:tcPr>
            <w:tcW w:w="651"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报价金额（</w:t>
            </w:r>
            <w:r w:rsidR="007A6EC8">
              <w:rPr>
                <w:rFonts w:ascii="仿宋" w:eastAsia="仿宋" w:hAnsi="仿宋" w:cs="仿宋" w:hint="eastAsia"/>
                <w:b/>
                <w:bCs/>
                <w:sz w:val="24"/>
              </w:rPr>
              <w:t>万</w:t>
            </w:r>
            <w:r>
              <w:rPr>
                <w:rFonts w:ascii="仿宋" w:eastAsia="仿宋" w:hAnsi="仿宋" w:cs="仿宋" w:hint="eastAsia"/>
                <w:b/>
                <w:bCs/>
                <w:sz w:val="24"/>
              </w:rPr>
              <w:t>元）</w:t>
            </w:r>
          </w:p>
        </w:tc>
        <w:tc>
          <w:tcPr>
            <w:tcW w:w="595" w:type="pct"/>
            <w:shd w:val="clear" w:color="auto" w:fill="auto"/>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最高限价（</w:t>
            </w:r>
            <w:r w:rsidR="007A6EC8">
              <w:rPr>
                <w:rFonts w:ascii="仿宋" w:eastAsia="仿宋" w:hAnsi="仿宋" w:cs="仿宋" w:hint="eastAsia"/>
                <w:b/>
                <w:bCs/>
                <w:sz w:val="24"/>
              </w:rPr>
              <w:t>万</w:t>
            </w:r>
            <w:r>
              <w:rPr>
                <w:rFonts w:ascii="仿宋" w:eastAsia="仿宋" w:hAnsi="仿宋" w:cs="仿宋" w:hint="eastAsia"/>
                <w:b/>
                <w:bCs/>
                <w:sz w:val="24"/>
              </w:rPr>
              <w:t>元）</w:t>
            </w:r>
          </w:p>
        </w:tc>
      </w:tr>
      <w:tr w:rsidR="00313AA9" w:rsidTr="00313AA9">
        <w:trPr>
          <w:trHeight w:val="880"/>
        </w:trPr>
        <w:tc>
          <w:tcPr>
            <w:tcW w:w="5000" w:type="pct"/>
            <w:gridSpan w:val="8"/>
            <w:shd w:val="clear" w:color="auto" w:fill="auto"/>
            <w:tcMar>
              <w:top w:w="0" w:type="dxa"/>
              <w:left w:w="70" w:type="dxa"/>
              <w:bottom w:w="0" w:type="dxa"/>
              <w:right w:w="70" w:type="dxa"/>
            </w:tcMar>
            <w:vAlign w:val="center"/>
          </w:tcPr>
          <w:p w:rsidR="00313AA9" w:rsidRDefault="00313AA9" w:rsidP="00313AA9">
            <w:pPr>
              <w:pStyle w:val="a6"/>
              <w:widowControl/>
              <w:spacing w:beforeAutospacing="0" w:afterAutospacing="0" w:line="330" w:lineRule="atLeast"/>
              <w:jc w:val="center"/>
              <w:rPr>
                <w:rFonts w:ascii="仿宋" w:eastAsia="仿宋" w:hAnsi="仿宋" w:cs="仿宋"/>
                <w:color w:val="0000FF"/>
              </w:rPr>
            </w:pPr>
            <w:r>
              <w:rPr>
                <w:rFonts w:ascii="仿宋" w:eastAsia="仿宋" w:hAnsi="仿宋" w:cs="仿宋" w:hint="eastAsia"/>
                <w:color w:val="333333"/>
              </w:rPr>
              <w:t>委现有</w:t>
            </w:r>
            <w:r w:rsidRPr="00313AA9">
              <w:rPr>
                <w:rFonts w:ascii="仿宋" w:eastAsia="仿宋" w:hAnsi="仿宋" w:cs="仿宋"/>
                <w:color w:val="333333"/>
              </w:rPr>
              <w:t>资产数约</w:t>
            </w:r>
            <w:r w:rsidRPr="00313AA9">
              <w:rPr>
                <w:rFonts w:ascii="仿宋" w:eastAsia="仿宋" w:hAnsi="仿宋" w:cs="仿宋" w:hint="eastAsia"/>
                <w:color w:val="333333"/>
              </w:rPr>
              <w:t>2957</w:t>
            </w:r>
            <w:r w:rsidRPr="00313AA9">
              <w:rPr>
                <w:rFonts w:ascii="仿宋" w:eastAsia="仿宋" w:hAnsi="仿宋" w:cs="仿宋"/>
                <w:color w:val="333333"/>
              </w:rPr>
              <w:t>件</w:t>
            </w:r>
          </w:p>
        </w:tc>
      </w:tr>
      <w:tr w:rsidR="00C806B2" w:rsidTr="007A6EC8">
        <w:trPr>
          <w:trHeight w:val="880"/>
        </w:trPr>
        <w:tc>
          <w:tcPr>
            <w:tcW w:w="379" w:type="pct"/>
            <w:vMerge w:val="restart"/>
            <w:shd w:val="clear" w:color="auto" w:fill="auto"/>
            <w:tcMar>
              <w:top w:w="0" w:type="dxa"/>
              <w:left w:w="70" w:type="dxa"/>
              <w:bottom w:w="0" w:type="dxa"/>
              <w:right w:w="70" w:type="dxa"/>
            </w:tcMar>
            <w:vAlign w:val="center"/>
          </w:tcPr>
          <w:p w:rsidR="00C806B2" w:rsidRDefault="00D15E6A">
            <w:pPr>
              <w:pStyle w:val="a6"/>
              <w:jc w:val="center"/>
              <w:rPr>
                <w:rFonts w:ascii="仿宋" w:eastAsia="仿宋" w:hAnsi="仿宋" w:cs="仿宋"/>
              </w:rPr>
            </w:pPr>
            <w:r>
              <w:rPr>
                <w:rStyle w:val="a7"/>
                <w:rFonts w:ascii="仿宋" w:eastAsia="仿宋" w:hAnsi="仿宋" w:cs="仿宋" w:hint="eastAsia"/>
                <w:color w:val="333333"/>
              </w:rPr>
              <w:t>1</w:t>
            </w:r>
          </w:p>
        </w:tc>
        <w:tc>
          <w:tcPr>
            <w:tcW w:w="417" w:type="pct"/>
            <w:vMerge w:val="restart"/>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资产清查技术服务</w:t>
            </w: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实物盘点和条码管理</w:t>
            </w:r>
          </w:p>
        </w:tc>
        <w:tc>
          <w:tcPr>
            <w:tcW w:w="1977" w:type="pct"/>
            <w:shd w:val="clear" w:color="auto" w:fill="auto"/>
            <w:tcMar>
              <w:top w:w="0" w:type="dxa"/>
              <w:left w:w="70" w:type="dxa"/>
              <w:bottom w:w="0" w:type="dxa"/>
              <w:right w:w="70" w:type="dxa"/>
            </w:tcMar>
          </w:tcPr>
          <w:p w:rsidR="00C806B2" w:rsidRDefault="00D15E6A" w:rsidP="001738EF">
            <w:pPr>
              <w:pStyle w:val="a6"/>
              <w:widowControl/>
              <w:spacing w:beforeAutospacing="0" w:afterAutospacing="0" w:line="260" w:lineRule="exact"/>
              <w:jc w:val="both"/>
              <w:rPr>
                <w:rFonts w:ascii="仿宋" w:eastAsia="仿宋" w:hAnsi="仿宋" w:cs="仿宋"/>
                <w:color w:val="333333"/>
              </w:rPr>
            </w:pPr>
            <w:r>
              <w:rPr>
                <w:rFonts w:ascii="仿宋" w:eastAsia="仿宋" w:hAnsi="仿宋" w:cs="仿宋" w:hint="eastAsia"/>
                <w:color w:val="333333"/>
              </w:rPr>
              <w:t>根据资产盘点清单到现场核点，实时更新系统盘点数据；</w:t>
            </w:r>
            <w:r>
              <w:rPr>
                <w:rFonts w:ascii="仿宋" w:eastAsia="仿宋" w:hAnsi="仿宋" w:cs="仿宋"/>
                <w:color w:val="333333"/>
              </w:rPr>
              <w:t>为确保资产信息精准对应，供应商需协助采购方核实实物与登记人及所在处室的匹配情况。同时，针对每间办公室，细致梳理并清晰标明资产清单，</w:t>
            </w:r>
            <w:r>
              <w:rPr>
                <w:rFonts w:ascii="仿宋" w:eastAsia="仿宋" w:hAnsi="仿宋" w:cs="仿宋" w:hint="eastAsia"/>
                <w:color w:val="333333"/>
              </w:rPr>
              <w:t>按单位管理要求设计资产标签，打印并黏贴到实物，实现固定资产“一物一卡一码”标签化管理；</w:t>
            </w:r>
          </w:p>
        </w:tc>
        <w:tc>
          <w:tcPr>
            <w:tcW w:w="281" w:type="pct"/>
            <w:vMerge w:val="restart"/>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330" w:lineRule="atLeast"/>
              <w:jc w:val="center"/>
              <w:rPr>
                <w:rFonts w:ascii="仿宋" w:eastAsia="仿宋" w:hAnsi="仿宋" w:cs="仿宋"/>
              </w:rPr>
            </w:pPr>
            <w:r>
              <w:rPr>
                <w:rFonts w:ascii="仿宋" w:eastAsia="仿宋" w:hAnsi="仿宋" w:cs="仿宋" w:hint="eastAsia"/>
                <w:color w:val="333333"/>
              </w:rPr>
              <w:t>1</w:t>
            </w:r>
          </w:p>
        </w:tc>
        <w:tc>
          <w:tcPr>
            <w:tcW w:w="281" w:type="pct"/>
            <w:vMerge w:val="restart"/>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330" w:lineRule="atLeast"/>
              <w:jc w:val="center"/>
              <w:rPr>
                <w:rFonts w:ascii="仿宋" w:eastAsia="仿宋" w:hAnsi="仿宋" w:cs="仿宋"/>
              </w:rPr>
            </w:pPr>
            <w:r>
              <w:rPr>
                <w:rFonts w:ascii="仿宋" w:eastAsia="仿宋" w:hAnsi="仿宋" w:cs="仿宋" w:hint="eastAsia"/>
                <w:color w:val="333333"/>
              </w:rPr>
              <w:t>项</w:t>
            </w:r>
          </w:p>
        </w:tc>
        <w:tc>
          <w:tcPr>
            <w:tcW w:w="651" w:type="pct"/>
            <w:vMerge w:val="restart"/>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val="restart"/>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330" w:lineRule="atLeast"/>
              <w:jc w:val="center"/>
              <w:rPr>
                <w:rFonts w:ascii="仿宋" w:eastAsia="仿宋" w:hAnsi="仿宋" w:cs="仿宋"/>
              </w:rPr>
            </w:pPr>
            <w:r>
              <w:rPr>
                <w:rFonts w:ascii="仿宋" w:eastAsia="仿宋" w:hAnsi="仿宋" w:cs="仿宋" w:hint="eastAsia"/>
                <w:color w:val="0000FF"/>
              </w:rPr>
              <w:t>8.5</w:t>
            </w:r>
          </w:p>
        </w:tc>
      </w:tr>
      <w:tr w:rsidR="00C806B2" w:rsidTr="007A6EC8">
        <w:trPr>
          <w:trHeight w:val="880"/>
        </w:trPr>
        <w:tc>
          <w:tcPr>
            <w:tcW w:w="379" w:type="pct"/>
            <w:vMerge/>
            <w:shd w:val="clear" w:color="auto" w:fill="auto"/>
            <w:tcMar>
              <w:top w:w="0" w:type="dxa"/>
              <w:left w:w="70" w:type="dxa"/>
              <w:bottom w:w="0" w:type="dxa"/>
              <w:right w:w="70" w:type="dxa"/>
            </w:tcMar>
            <w:vAlign w:val="center"/>
          </w:tcPr>
          <w:p w:rsidR="00C806B2" w:rsidRDefault="00C806B2">
            <w:pPr>
              <w:pStyle w:val="a6"/>
              <w:jc w:val="center"/>
              <w:rPr>
                <w:rStyle w:val="a7"/>
                <w:rFonts w:ascii="仿宋" w:eastAsia="仿宋" w:hAnsi="仿宋" w:cs="仿宋"/>
                <w:color w:val="333333"/>
              </w:rPr>
            </w:pPr>
          </w:p>
        </w:tc>
        <w:tc>
          <w:tcPr>
            <w:tcW w:w="417" w:type="pct"/>
            <w:vMerge/>
            <w:tcMar>
              <w:top w:w="0" w:type="dxa"/>
              <w:left w:w="70" w:type="dxa"/>
              <w:bottom w:w="0" w:type="dxa"/>
              <w:right w:w="70" w:type="dxa"/>
            </w:tcMar>
            <w:vAlign w:val="center"/>
          </w:tcPr>
          <w:p w:rsidR="00C806B2" w:rsidRDefault="00C806B2">
            <w:pPr>
              <w:jc w:val="center"/>
              <w:rPr>
                <w:rFonts w:ascii="仿宋" w:eastAsia="仿宋" w:hAnsi="仿宋" w:cs="仿宋"/>
                <w:b/>
                <w:bCs/>
                <w:sz w:val="24"/>
              </w:rPr>
            </w:pP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资产系统数据更新</w:t>
            </w:r>
          </w:p>
        </w:tc>
        <w:tc>
          <w:tcPr>
            <w:tcW w:w="1977" w:type="pct"/>
            <w:shd w:val="clear" w:color="auto" w:fill="auto"/>
            <w:tcMar>
              <w:top w:w="0" w:type="dxa"/>
              <w:left w:w="70" w:type="dxa"/>
              <w:bottom w:w="0" w:type="dxa"/>
              <w:right w:w="70" w:type="dxa"/>
            </w:tcMar>
          </w:tcPr>
          <w:p w:rsidR="00C806B2" w:rsidRDefault="00D15E6A" w:rsidP="001738EF">
            <w:pPr>
              <w:pStyle w:val="a6"/>
              <w:widowControl/>
              <w:spacing w:beforeAutospacing="0" w:afterAutospacing="0" w:line="260" w:lineRule="exact"/>
              <w:jc w:val="both"/>
              <w:rPr>
                <w:rFonts w:ascii="仿宋" w:eastAsia="仿宋" w:hAnsi="仿宋" w:cs="仿宋"/>
                <w:color w:val="333333"/>
              </w:rPr>
            </w:pPr>
            <w:r>
              <w:rPr>
                <w:rFonts w:ascii="仿宋" w:eastAsia="仿宋" w:hAnsi="仿宋" w:cs="仿宋" w:hint="eastAsia"/>
                <w:color w:val="333333"/>
              </w:rPr>
              <w:t>利用现有的资产管理动态系统建立完整资产台帐，更新盘点过程最新数据，并将所有尚未录入系统的新增资产补录到系统；</w:t>
            </w: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651" w:type="pct"/>
            <w:vMerge/>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r>
      <w:tr w:rsidR="00C806B2" w:rsidTr="007A6EC8">
        <w:trPr>
          <w:trHeight w:val="880"/>
        </w:trPr>
        <w:tc>
          <w:tcPr>
            <w:tcW w:w="379" w:type="pct"/>
            <w:vMerge/>
            <w:shd w:val="clear" w:color="auto" w:fill="auto"/>
            <w:tcMar>
              <w:top w:w="0" w:type="dxa"/>
              <w:left w:w="70" w:type="dxa"/>
              <w:bottom w:w="0" w:type="dxa"/>
              <w:right w:w="70" w:type="dxa"/>
            </w:tcMar>
            <w:vAlign w:val="center"/>
          </w:tcPr>
          <w:p w:rsidR="00C806B2" w:rsidRDefault="00C806B2">
            <w:pPr>
              <w:pStyle w:val="a6"/>
              <w:jc w:val="center"/>
              <w:rPr>
                <w:rStyle w:val="a7"/>
                <w:rFonts w:ascii="仿宋" w:eastAsia="仿宋" w:hAnsi="仿宋" w:cs="仿宋"/>
                <w:color w:val="333333"/>
              </w:rPr>
            </w:pPr>
          </w:p>
        </w:tc>
        <w:tc>
          <w:tcPr>
            <w:tcW w:w="417" w:type="pct"/>
            <w:vMerge/>
            <w:tcMar>
              <w:top w:w="0" w:type="dxa"/>
              <w:left w:w="70" w:type="dxa"/>
              <w:bottom w:w="0" w:type="dxa"/>
              <w:right w:w="70" w:type="dxa"/>
            </w:tcMar>
            <w:vAlign w:val="center"/>
          </w:tcPr>
          <w:p w:rsidR="00C806B2" w:rsidRDefault="00C806B2">
            <w:pPr>
              <w:jc w:val="center"/>
              <w:rPr>
                <w:rFonts w:ascii="仿宋" w:eastAsia="仿宋" w:hAnsi="仿宋" w:cs="仿宋"/>
                <w:b/>
                <w:bCs/>
                <w:sz w:val="24"/>
              </w:rPr>
            </w:pP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拟出可处置资产清单</w:t>
            </w:r>
          </w:p>
        </w:tc>
        <w:tc>
          <w:tcPr>
            <w:tcW w:w="1977" w:type="pct"/>
            <w:shd w:val="clear" w:color="auto" w:fill="auto"/>
            <w:tcMar>
              <w:top w:w="0" w:type="dxa"/>
              <w:left w:w="70" w:type="dxa"/>
              <w:bottom w:w="0" w:type="dxa"/>
              <w:right w:w="70" w:type="dxa"/>
            </w:tcMar>
          </w:tcPr>
          <w:p w:rsidR="00C806B2" w:rsidRDefault="00D15E6A" w:rsidP="001738EF">
            <w:pPr>
              <w:pStyle w:val="a6"/>
              <w:widowControl/>
              <w:spacing w:beforeAutospacing="0" w:afterAutospacing="0" w:line="260" w:lineRule="exact"/>
              <w:jc w:val="both"/>
              <w:rPr>
                <w:rFonts w:ascii="仿宋" w:eastAsia="仿宋" w:hAnsi="仿宋" w:cs="仿宋"/>
                <w:color w:val="333333"/>
              </w:rPr>
            </w:pPr>
            <w:r>
              <w:rPr>
                <w:rFonts w:ascii="仿宋" w:eastAsia="仿宋" w:hAnsi="仿宋" w:cs="仿宋"/>
                <w:color w:val="333333"/>
              </w:rPr>
              <w:t>根据本次资产清查盘点的结果，梳理出账实相符固定资产清册、有物无账固定资产清册、有账无物固定资产清册、应报废固定资产清册</w:t>
            </w:r>
            <w:r>
              <w:t>。</w:t>
            </w: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651" w:type="pct"/>
            <w:vMerge/>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r>
      <w:tr w:rsidR="00C806B2" w:rsidTr="007A6EC8">
        <w:trPr>
          <w:trHeight w:val="880"/>
        </w:trPr>
        <w:tc>
          <w:tcPr>
            <w:tcW w:w="379" w:type="pct"/>
            <w:vMerge/>
            <w:shd w:val="clear" w:color="auto" w:fill="auto"/>
            <w:tcMar>
              <w:top w:w="0" w:type="dxa"/>
              <w:left w:w="70" w:type="dxa"/>
              <w:bottom w:w="0" w:type="dxa"/>
              <w:right w:w="70" w:type="dxa"/>
            </w:tcMar>
            <w:vAlign w:val="center"/>
          </w:tcPr>
          <w:p w:rsidR="00C806B2" w:rsidRDefault="00C806B2">
            <w:pPr>
              <w:pStyle w:val="a6"/>
              <w:jc w:val="center"/>
              <w:rPr>
                <w:rStyle w:val="a7"/>
                <w:rFonts w:ascii="仿宋" w:eastAsia="仿宋" w:hAnsi="仿宋" w:cs="仿宋"/>
                <w:color w:val="333333"/>
              </w:rPr>
            </w:pPr>
          </w:p>
        </w:tc>
        <w:tc>
          <w:tcPr>
            <w:tcW w:w="417" w:type="pct"/>
            <w:vMerge/>
            <w:tcMar>
              <w:top w:w="0" w:type="dxa"/>
              <w:left w:w="70" w:type="dxa"/>
              <w:bottom w:w="0" w:type="dxa"/>
              <w:right w:w="70" w:type="dxa"/>
            </w:tcMar>
            <w:vAlign w:val="center"/>
          </w:tcPr>
          <w:p w:rsidR="00C806B2" w:rsidRDefault="00C806B2">
            <w:pPr>
              <w:jc w:val="center"/>
              <w:rPr>
                <w:rFonts w:ascii="仿宋" w:eastAsia="仿宋" w:hAnsi="仿宋" w:cs="仿宋"/>
                <w:b/>
                <w:bCs/>
                <w:sz w:val="24"/>
              </w:rPr>
            </w:pP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账实相符、账账相符</w:t>
            </w:r>
          </w:p>
        </w:tc>
        <w:tc>
          <w:tcPr>
            <w:tcW w:w="1977" w:type="pct"/>
            <w:shd w:val="clear" w:color="auto" w:fill="auto"/>
            <w:tcMar>
              <w:top w:w="0" w:type="dxa"/>
              <w:left w:w="70" w:type="dxa"/>
              <w:bottom w:w="0" w:type="dxa"/>
              <w:right w:w="70" w:type="dxa"/>
            </w:tcMar>
          </w:tcPr>
          <w:p w:rsidR="00C806B2" w:rsidRDefault="00D15E6A" w:rsidP="001738EF">
            <w:pPr>
              <w:pStyle w:val="a6"/>
              <w:widowControl/>
              <w:spacing w:beforeAutospacing="0" w:afterAutospacing="0" w:line="260" w:lineRule="exact"/>
              <w:jc w:val="both"/>
              <w:rPr>
                <w:rFonts w:ascii="仿宋" w:eastAsia="仿宋" w:hAnsi="仿宋" w:cs="仿宋"/>
                <w:color w:val="333333"/>
              </w:rPr>
            </w:pPr>
            <w:r>
              <w:rPr>
                <w:rFonts w:ascii="仿宋" w:eastAsia="仿宋" w:hAnsi="仿宋" w:cs="仿宋" w:hint="eastAsia"/>
                <w:color w:val="333333"/>
              </w:rPr>
              <w:t>对于盘盈、盘亏等情况，及时核查原因，有针对性进行处理解决，实现账实相符，并核实资产账与财务帐，确保账账相符；</w:t>
            </w: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651" w:type="pct"/>
            <w:vMerge/>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r>
      <w:tr w:rsidR="00C806B2" w:rsidTr="007A6EC8">
        <w:trPr>
          <w:trHeight w:val="880"/>
        </w:trPr>
        <w:tc>
          <w:tcPr>
            <w:tcW w:w="379"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jc w:val="center"/>
              <w:rPr>
                <w:rStyle w:val="a7"/>
                <w:rFonts w:ascii="仿宋" w:eastAsia="仿宋" w:hAnsi="仿宋" w:cs="仿宋"/>
                <w:color w:val="333333"/>
              </w:rPr>
            </w:pPr>
          </w:p>
        </w:tc>
        <w:tc>
          <w:tcPr>
            <w:tcW w:w="417" w:type="pct"/>
            <w:vMerge/>
            <w:tcMar>
              <w:top w:w="0" w:type="dxa"/>
              <w:left w:w="70" w:type="dxa"/>
              <w:bottom w:w="0" w:type="dxa"/>
              <w:right w:w="70" w:type="dxa"/>
            </w:tcMar>
            <w:vAlign w:val="center"/>
          </w:tcPr>
          <w:p w:rsidR="00C806B2" w:rsidRDefault="00C806B2">
            <w:pPr>
              <w:jc w:val="center"/>
              <w:rPr>
                <w:rFonts w:ascii="仿宋" w:eastAsia="仿宋" w:hAnsi="仿宋" w:cs="仿宋"/>
                <w:b/>
                <w:bCs/>
                <w:sz w:val="24"/>
              </w:rPr>
            </w:pP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盘点结果分析</w:t>
            </w:r>
          </w:p>
        </w:tc>
        <w:tc>
          <w:tcPr>
            <w:tcW w:w="1977" w:type="pct"/>
            <w:shd w:val="clear" w:color="auto" w:fill="auto"/>
            <w:tcMar>
              <w:top w:w="0" w:type="dxa"/>
              <w:left w:w="70" w:type="dxa"/>
              <w:bottom w:w="0" w:type="dxa"/>
              <w:right w:w="70" w:type="dxa"/>
            </w:tcMar>
          </w:tcPr>
          <w:p w:rsidR="00C806B2" w:rsidRDefault="00D15E6A" w:rsidP="001738EF">
            <w:pPr>
              <w:spacing w:line="260" w:lineRule="exact"/>
              <w:rPr>
                <w:rFonts w:ascii="仿宋" w:eastAsia="仿宋" w:hAnsi="仿宋" w:cs="仿宋"/>
                <w:color w:val="333333"/>
                <w:kern w:val="0"/>
                <w:sz w:val="24"/>
              </w:rPr>
            </w:pPr>
            <w:r>
              <w:rPr>
                <w:rFonts w:ascii="仿宋" w:eastAsia="仿宋" w:hAnsi="仿宋" w:cs="仿宋"/>
                <w:color w:val="333333"/>
                <w:kern w:val="0"/>
                <w:sz w:val="24"/>
              </w:rPr>
              <w:t>在资产盘点过程中，协助采购方认定固定资产的归属，区分本单位资产、划拨及借用资产，杜绝漏登记及虚增、重复登记固定资产的情况。</w:t>
            </w:r>
            <w:r>
              <w:rPr>
                <w:rFonts w:ascii="仿宋" w:eastAsia="仿宋" w:hAnsi="仿宋" w:cs="仿宋" w:hint="eastAsia"/>
                <w:color w:val="333333"/>
                <w:kern w:val="0"/>
                <w:sz w:val="24"/>
              </w:rPr>
              <w:t>盘点结束时，</w:t>
            </w:r>
            <w:r>
              <w:rPr>
                <w:rFonts w:ascii="仿宋" w:eastAsia="仿宋" w:hAnsi="仿宋" w:cs="仿宋"/>
                <w:color w:val="333333"/>
                <w:kern w:val="0"/>
                <w:sz w:val="24"/>
              </w:rPr>
              <w:t>供应方协助单位进行资产清查报表的编报工作。在编报过程中，需严格遵循相关规范与要求，注重细节把控，确保报表</w:t>
            </w:r>
            <w:r>
              <w:rPr>
                <w:rFonts w:ascii="仿宋" w:eastAsia="仿宋" w:hAnsi="仿宋" w:cs="仿宋"/>
                <w:color w:val="333333"/>
                <w:kern w:val="0"/>
                <w:sz w:val="24"/>
              </w:rPr>
              <w:lastRenderedPageBreak/>
              <w:t>内容完整、数据准确、逻辑清晰，全方位保障报表编报工作的高质量完成。</w:t>
            </w: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651" w:type="pct"/>
            <w:vMerge/>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r>
      <w:tr w:rsidR="00C806B2" w:rsidTr="007A6EC8">
        <w:trPr>
          <w:trHeight w:val="880"/>
        </w:trPr>
        <w:tc>
          <w:tcPr>
            <w:tcW w:w="379" w:type="pct"/>
            <w:shd w:val="clear" w:color="auto" w:fill="auto"/>
            <w:tcMar>
              <w:top w:w="0" w:type="dxa"/>
              <w:left w:w="70" w:type="dxa"/>
              <w:bottom w:w="0" w:type="dxa"/>
              <w:right w:w="70" w:type="dxa"/>
            </w:tcMar>
            <w:vAlign w:val="center"/>
          </w:tcPr>
          <w:p w:rsidR="00C806B2" w:rsidRDefault="00D15E6A">
            <w:pPr>
              <w:pStyle w:val="a6"/>
              <w:widowControl/>
              <w:spacing w:beforeAutospacing="0" w:afterAutospacing="0"/>
              <w:jc w:val="center"/>
              <w:rPr>
                <w:rStyle w:val="a7"/>
                <w:rFonts w:ascii="仿宋" w:eastAsia="仿宋" w:hAnsi="仿宋" w:cs="仿宋"/>
                <w:color w:val="333333"/>
              </w:rPr>
            </w:pPr>
            <w:r>
              <w:rPr>
                <w:rStyle w:val="a7"/>
                <w:rFonts w:ascii="仿宋" w:eastAsia="仿宋" w:hAnsi="仿宋" w:cs="仿宋" w:hint="eastAsia"/>
                <w:color w:val="333333"/>
              </w:rPr>
              <w:lastRenderedPageBreak/>
              <w:t>2</w:t>
            </w:r>
          </w:p>
        </w:tc>
        <w:tc>
          <w:tcPr>
            <w:tcW w:w="417" w:type="pct"/>
            <w:tcMar>
              <w:top w:w="0" w:type="dxa"/>
              <w:left w:w="70" w:type="dxa"/>
              <w:bottom w:w="0" w:type="dxa"/>
              <w:right w:w="70" w:type="dxa"/>
            </w:tcMar>
            <w:vAlign w:val="center"/>
          </w:tcPr>
          <w:p w:rsidR="00C806B2" w:rsidRDefault="00D15E6A">
            <w:pPr>
              <w:jc w:val="center"/>
              <w:rPr>
                <w:rFonts w:ascii="仿宋" w:eastAsia="仿宋" w:hAnsi="仿宋" w:cs="仿宋"/>
                <w:b/>
                <w:bCs/>
                <w:sz w:val="24"/>
              </w:rPr>
            </w:pPr>
            <w:r>
              <w:rPr>
                <w:rFonts w:ascii="仿宋" w:eastAsia="仿宋" w:hAnsi="仿宋" w:cs="仿宋" w:hint="eastAsia"/>
                <w:b/>
                <w:bCs/>
                <w:sz w:val="24"/>
              </w:rPr>
              <w:t>资产清查盘点工具</w:t>
            </w:r>
          </w:p>
        </w:tc>
        <w:tc>
          <w:tcPr>
            <w:tcW w:w="419" w:type="pct"/>
            <w:shd w:val="clear" w:color="auto" w:fill="auto"/>
            <w:tcMar>
              <w:top w:w="0" w:type="dxa"/>
              <w:left w:w="70" w:type="dxa"/>
              <w:bottom w:w="0" w:type="dxa"/>
              <w:right w:w="70" w:type="dxa"/>
            </w:tcMar>
            <w:vAlign w:val="center"/>
          </w:tcPr>
          <w:p w:rsidR="00C806B2" w:rsidRDefault="00D15E6A" w:rsidP="001738EF">
            <w:pPr>
              <w:pStyle w:val="a6"/>
              <w:widowControl/>
              <w:spacing w:beforeAutospacing="0" w:afterAutospacing="0" w:line="300" w:lineRule="exact"/>
              <w:jc w:val="both"/>
              <w:rPr>
                <w:rFonts w:ascii="仿宋" w:eastAsia="仿宋" w:hAnsi="仿宋" w:cs="仿宋"/>
              </w:rPr>
            </w:pPr>
            <w:r>
              <w:rPr>
                <w:rFonts w:ascii="仿宋" w:eastAsia="仿宋" w:hAnsi="仿宋" w:cs="仿宋" w:hint="eastAsia"/>
              </w:rPr>
              <w:t>盘点工具</w:t>
            </w:r>
          </w:p>
        </w:tc>
        <w:tc>
          <w:tcPr>
            <w:tcW w:w="1977" w:type="pct"/>
            <w:shd w:val="clear" w:color="auto" w:fill="auto"/>
            <w:tcMar>
              <w:top w:w="0" w:type="dxa"/>
              <w:left w:w="70" w:type="dxa"/>
              <w:bottom w:w="0" w:type="dxa"/>
              <w:right w:w="70" w:type="dxa"/>
            </w:tcMar>
          </w:tcPr>
          <w:p w:rsidR="00C806B2" w:rsidRDefault="00D15E6A" w:rsidP="001738EF">
            <w:pPr>
              <w:pStyle w:val="a6"/>
              <w:widowControl/>
              <w:spacing w:beforeAutospacing="0" w:afterAutospacing="0" w:line="260" w:lineRule="exact"/>
              <w:jc w:val="both"/>
              <w:rPr>
                <w:rFonts w:ascii="仿宋" w:eastAsia="仿宋" w:hAnsi="仿宋" w:cs="仿宋"/>
                <w:color w:val="333333"/>
              </w:rPr>
            </w:pPr>
            <w:r>
              <w:rPr>
                <w:rFonts w:ascii="仿宋" w:eastAsia="仿宋" w:hAnsi="仿宋" w:cs="仿宋" w:hint="eastAsia"/>
                <w:color w:val="333333"/>
              </w:rPr>
              <w:t>提供盘点系统、移动端的盘点小程序。提供打印设备与系统的对接、盘点程序的更新运维，保证盘点结果数据与管理局支撑平台及财政一体化平台的对接。</w:t>
            </w: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281"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c>
          <w:tcPr>
            <w:tcW w:w="651" w:type="pct"/>
            <w:vMerge/>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c>
          <w:tcPr>
            <w:tcW w:w="595" w:type="pct"/>
            <w:vMerge/>
            <w:shd w:val="clear" w:color="auto" w:fill="auto"/>
            <w:tcMar>
              <w:top w:w="0" w:type="dxa"/>
              <w:left w:w="70" w:type="dxa"/>
              <w:bottom w:w="0" w:type="dxa"/>
              <w:right w:w="70" w:type="dxa"/>
            </w:tcMar>
            <w:vAlign w:val="center"/>
          </w:tcPr>
          <w:p w:rsidR="00C806B2" w:rsidRDefault="00C806B2">
            <w:pPr>
              <w:pStyle w:val="a6"/>
              <w:widowControl/>
              <w:spacing w:beforeAutospacing="0" w:afterAutospacing="0" w:line="330" w:lineRule="atLeast"/>
              <w:jc w:val="center"/>
              <w:rPr>
                <w:rFonts w:ascii="仿宋" w:eastAsia="仿宋" w:hAnsi="仿宋" w:cs="仿宋"/>
                <w:color w:val="333333"/>
              </w:rPr>
            </w:pPr>
          </w:p>
        </w:tc>
      </w:tr>
      <w:tr w:rsidR="00C806B2" w:rsidTr="007A6EC8">
        <w:trPr>
          <w:trHeight w:val="370"/>
        </w:trPr>
        <w:tc>
          <w:tcPr>
            <w:tcW w:w="379" w:type="pct"/>
            <w:tcBorders>
              <w:tl2br w:val="nil"/>
              <w:tr2bl w:val="nil"/>
            </w:tcBorders>
            <w:shd w:val="clear" w:color="auto" w:fill="auto"/>
            <w:tcMar>
              <w:top w:w="0" w:type="dxa"/>
              <w:left w:w="70" w:type="dxa"/>
              <w:bottom w:w="0" w:type="dxa"/>
              <w:right w:w="70" w:type="dxa"/>
            </w:tcMar>
          </w:tcPr>
          <w:p w:rsidR="00C806B2" w:rsidRDefault="00D15E6A">
            <w:pPr>
              <w:pStyle w:val="a6"/>
              <w:widowControl/>
              <w:spacing w:beforeAutospacing="0" w:afterAutospacing="0" w:line="210" w:lineRule="atLeast"/>
              <w:jc w:val="center"/>
              <w:rPr>
                <w:rFonts w:ascii="仿宋" w:eastAsia="仿宋" w:hAnsi="仿宋" w:cs="仿宋"/>
              </w:rPr>
            </w:pPr>
            <w:r>
              <w:rPr>
                <w:rStyle w:val="a7"/>
                <w:rFonts w:ascii="仿宋" w:eastAsia="仿宋" w:hAnsi="仿宋" w:cs="仿宋" w:hint="eastAsia"/>
                <w:color w:val="333333"/>
              </w:rPr>
              <w:t>序号</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center"/>
              <w:rPr>
                <w:rFonts w:ascii="仿宋" w:eastAsia="仿宋" w:hAnsi="仿宋" w:cs="仿宋"/>
              </w:rPr>
            </w:pPr>
            <w:r>
              <w:rPr>
                <w:rStyle w:val="a7"/>
                <w:rFonts w:ascii="仿宋" w:eastAsia="仿宋" w:hAnsi="仿宋" w:cs="仿宋" w:hint="eastAsia"/>
                <w:color w:val="333333"/>
              </w:rPr>
              <w:t>商务要求</w:t>
            </w:r>
          </w:p>
        </w:tc>
        <w:tc>
          <w:tcPr>
            <w:tcW w:w="595" w:type="pct"/>
            <w:tcBorders>
              <w:tl2br w:val="nil"/>
              <w:tr2bl w:val="nil"/>
            </w:tcBorders>
            <w:shd w:val="clear" w:color="auto" w:fill="auto"/>
            <w:tcMar>
              <w:top w:w="0" w:type="dxa"/>
              <w:left w:w="70" w:type="dxa"/>
              <w:bottom w:w="0" w:type="dxa"/>
              <w:right w:w="70" w:type="dxa"/>
            </w:tcMar>
          </w:tcPr>
          <w:p w:rsidR="00C806B2" w:rsidRDefault="00D15E6A">
            <w:pPr>
              <w:pStyle w:val="a6"/>
              <w:widowControl/>
              <w:spacing w:beforeAutospacing="0" w:afterAutospacing="0" w:line="210" w:lineRule="atLeast"/>
              <w:jc w:val="center"/>
              <w:rPr>
                <w:rFonts w:ascii="仿宋" w:eastAsia="仿宋" w:hAnsi="仿宋" w:cs="仿宋"/>
              </w:rPr>
            </w:pPr>
            <w:r>
              <w:rPr>
                <w:rStyle w:val="a7"/>
                <w:rFonts w:ascii="仿宋" w:eastAsia="仿宋" w:hAnsi="仿宋" w:cs="仿宋" w:hint="eastAsia"/>
                <w:color w:val="333333"/>
              </w:rPr>
              <w:t>偏离说明</w:t>
            </w: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1</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rPr>
            </w:pPr>
            <w:r>
              <w:rPr>
                <w:rStyle w:val="a7"/>
                <w:rFonts w:ascii="仿宋" w:eastAsia="仿宋" w:hAnsi="仿宋" w:cs="仿宋" w:hint="eastAsia"/>
                <w:color w:val="333333"/>
              </w:rPr>
              <w:t>交付地点：</w:t>
            </w:r>
            <w:r>
              <w:rPr>
                <w:rStyle w:val="a7"/>
                <w:rFonts w:ascii="仿宋" w:eastAsia="仿宋" w:hAnsi="仿宋" w:cs="仿宋" w:hint="eastAsia"/>
                <w:b w:val="0"/>
                <w:bCs/>
                <w:color w:val="333333"/>
              </w:rPr>
              <w:t>福建省福州市鼓楼区东大路73号1号楼</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2</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rPr>
            </w:pPr>
            <w:r>
              <w:rPr>
                <w:rStyle w:val="a7"/>
                <w:rFonts w:ascii="仿宋" w:eastAsia="仿宋" w:hAnsi="仿宋" w:cs="仿宋" w:hint="eastAsia"/>
                <w:color w:val="333333"/>
              </w:rPr>
              <w:t>交付时间：</w:t>
            </w:r>
            <w:r>
              <w:rPr>
                <w:rFonts w:ascii="仿宋" w:eastAsia="仿宋" w:hAnsi="仿宋" w:cs="仿宋" w:hint="eastAsia"/>
              </w:rPr>
              <w:t>合同签订后(60-90)天内</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3</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color w:val="333333"/>
              </w:rPr>
            </w:pPr>
            <w:r>
              <w:rPr>
                <w:rStyle w:val="a7"/>
                <w:rFonts w:ascii="仿宋" w:eastAsia="仿宋" w:hAnsi="仿宋" w:cs="仿宋" w:hint="eastAsia"/>
                <w:color w:val="333333"/>
              </w:rPr>
              <w:t>交付条件：</w:t>
            </w:r>
            <w:r>
              <w:rPr>
                <w:rFonts w:ascii="仿宋" w:eastAsia="仿宋" w:hAnsi="仿宋" w:cs="仿宋" w:hint="eastAsia"/>
                <w:color w:val="333333"/>
              </w:rPr>
              <w:t>1、供应商需要建立完善的本地售后服务体系，确保向采购人提供充分考虑使用者利益的技术支持及售后服务模式。供应商需设立专门的售后服务团队，提供7*24小时的在线支持，确保采购人在遇到任何问题时都能得到及时、专业的解答和帮助；</w:t>
            </w:r>
          </w:p>
          <w:p w:rsidR="00C806B2" w:rsidRDefault="00D15E6A">
            <w:pPr>
              <w:rPr>
                <w:rFonts w:ascii="仿宋" w:eastAsia="仿宋" w:hAnsi="仿宋" w:cs="仿宋"/>
                <w:color w:val="333333"/>
                <w:kern w:val="0"/>
                <w:sz w:val="24"/>
              </w:rPr>
            </w:pPr>
            <w:r>
              <w:rPr>
                <w:rFonts w:ascii="仿宋" w:eastAsia="仿宋" w:hAnsi="仿宋" w:cs="仿宋" w:hint="eastAsia"/>
                <w:color w:val="333333"/>
                <w:kern w:val="0"/>
                <w:sz w:val="24"/>
              </w:rPr>
              <w:t>2、供应商将提供全面的技术培训和操作指导，帮助采购人熟悉操作系统及盘点过程的操作和维护。</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4</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rPr>
            </w:pPr>
            <w:r>
              <w:rPr>
                <w:rFonts w:ascii="仿宋" w:eastAsia="仿宋" w:hAnsi="仿宋" w:cs="仿宋" w:hint="eastAsia"/>
                <w:color w:val="333333"/>
              </w:rPr>
              <w:t>是否收取履约保证金：</w:t>
            </w:r>
            <w:r>
              <w:rPr>
                <w:rStyle w:val="a7"/>
                <w:rFonts w:ascii="仿宋" w:eastAsia="仿宋" w:hAnsi="仿宋" w:cs="仿宋" w:hint="eastAsia"/>
                <w:color w:val="333333"/>
              </w:rPr>
              <w:t>否</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5</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rPr>
            </w:pPr>
            <w:r>
              <w:rPr>
                <w:rFonts w:ascii="仿宋" w:eastAsia="仿宋" w:hAnsi="仿宋" w:cs="仿宋" w:hint="eastAsia"/>
                <w:color w:val="333333"/>
              </w:rPr>
              <w:t>是否邀请报价人参与验收：</w:t>
            </w:r>
            <w:r>
              <w:rPr>
                <w:rStyle w:val="a7"/>
                <w:rFonts w:ascii="仿宋" w:eastAsia="仿宋" w:hAnsi="仿宋" w:cs="仿宋" w:hint="eastAsia"/>
                <w:color w:val="333333"/>
              </w:rPr>
              <w:t>否</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6</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rPr>
            </w:pPr>
            <w:r>
              <w:rPr>
                <w:rStyle w:val="a7"/>
                <w:rFonts w:ascii="仿宋" w:eastAsia="仿宋" w:hAnsi="仿宋" w:cs="仿宋" w:hint="eastAsia"/>
                <w:color w:val="333333"/>
              </w:rPr>
              <w:t>验收要求：</w:t>
            </w:r>
            <w:r>
              <w:rPr>
                <w:rFonts w:ascii="仿宋" w:eastAsia="仿宋" w:hAnsi="仿宋" w:cs="仿宋" w:hint="eastAsia"/>
              </w:rPr>
              <w:t>全面清查核实，确保真实完整地反映单位资产情况，实现一卡一物一码的统一管理，并出具相应的书面资料和报告。</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rPr>
            </w:pPr>
            <w:r>
              <w:rPr>
                <w:rFonts w:ascii="仿宋" w:eastAsia="仿宋" w:hAnsi="仿宋" w:cs="仿宋" w:hint="eastAsia"/>
                <w:color w:val="333333"/>
              </w:rPr>
              <w:t>7</w:t>
            </w:r>
          </w:p>
        </w:tc>
        <w:tc>
          <w:tcPr>
            <w:tcW w:w="4026" w:type="pct"/>
            <w:gridSpan w:val="6"/>
            <w:tcBorders>
              <w:tl2br w:val="nil"/>
              <w:tr2bl w:val="nil"/>
            </w:tcBorders>
            <w:tcMar>
              <w:top w:w="0" w:type="dxa"/>
              <w:left w:w="70" w:type="dxa"/>
              <w:bottom w:w="0" w:type="dxa"/>
              <w:right w:w="70" w:type="dxa"/>
            </w:tcMar>
          </w:tcPr>
          <w:p w:rsidR="00C806B2" w:rsidRDefault="00D15E6A">
            <w:pPr>
              <w:pStyle w:val="a6"/>
              <w:widowControl/>
              <w:spacing w:beforeAutospacing="0" w:afterAutospacing="0" w:line="210" w:lineRule="atLeast"/>
              <w:jc w:val="both"/>
              <w:rPr>
                <w:rFonts w:ascii="仿宋" w:eastAsia="仿宋" w:hAnsi="仿宋" w:cs="仿宋"/>
                <w:color w:val="333333"/>
              </w:rPr>
            </w:pPr>
            <w:r>
              <w:rPr>
                <w:rStyle w:val="a7"/>
                <w:rFonts w:ascii="仿宋" w:eastAsia="仿宋" w:hAnsi="仿宋" w:cs="仿宋" w:hint="eastAsia"/>
                <w:color w:val="333333"/>
              </w:rPr>
              <w:t>付款方式：</w:t>
            </w:r>
            <w:r>
              <w:rPr>
                <w:rFonts w:ascii="仿宋" w:eastAsia="仿宋" w:hAnsi="仿宋" w:cs="仿宋" w:hint="eastAsia"/>
                <w:color w:val="333333"/>
              </w:rPr>
              <w:t>合同验收完毕后，由成交人在收到经采购人加盖公章的验收确认单之日起5个工作日内开具增值税普通发票并送达采购人，采购人在收到后15个工作日内确认并以转账方式一次性支付服务费。</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r w:rsidR="00C806B2" w:rsidTr="007A6EC8">
        <w:trPr>
          <w:trHeight w:val="4857"/>
        </w:trPr>
        <w:tc>
          <w:tcPr>
            <w:tcW w:w="379" w:type="pct"/>
            <w:tcBorders>
              <w:tl2br w:val="nil"/>
              <w:tr2bl w:val="nil"/>
            </w:tcBorders>
            <w:shd w:val="clear" w:color="auto" w:fill="auto"/>
            <w:tcMar>
              <w:top w:w="0" w:type="dxa"/>
              <w:left w:w="70" w:type="dxa"/>
              <w:bottom w:w="0" w:type="dxa"/>
              <w:right w:w="70" w:type="dxa"/>
            </w:tcMar>
            <w:vAlign w:val="center"/>
          </w:tcPr>
          <w:p w:rsidR="00C806B2" w:rsidRDefault="00D15E6A">
            <w:pPr>
              <w:pStyle w:val="a6"/>
              <w:widowControl/>
              <w:spacing w:beforeAutospacing="0" w:afterAutospacing="0" w:line="210" w:lineRule="atLeast"/>
              <w:jc w:val="center"/>
              <w:rPr>
                <w:rFonts w:ascii="仿宋" w:eastAsia="仿宋" w:hAnsi="仿宋" w:cs="仿宋"/>
                <w:color w:val="333333"/>
              </w:rPr>
            </w:pPr>
            <w:r>
              <w:rPr>
                <w:rFonts w:ascii="仿宋" w:eastAsia="仿宋" w:hAnsi="仿宋" w:cs="仿宋" w:hint="eastAsia"/>
                <w:color w:val="333333"/>
              </w:rPr>
              <w:t>8</w:t>
            </w:r>
          </w:p>
        </w:tc>
        <w:tc>
          <w:tcPr>
            <w:tcW w:w="4026" w:type="pct"/>
            <w:gridSpan w:val="6"/>
            <w:tcBorders>
              <w:tl2br w:val="nil"/>
              <w:tr2bl w:val="nil"/>
            </w:tcBorders>
            <w:tcMar>
              <w:top w:w="0" w:type="dxa"/>
              <w:left w:w="70" w:type="dxa"/>
              <w:bottom w:w="0" w:type="dxa"/>
              <w:right w:w="70" w:type="dxa"/>
            </w:tcMar>
            <w:vAlign w:val="center"/>
          </w:tcPr>
          <w:p w:rsidR="00C806B2" w:rsidRDefault="00D15E6A" w:rsidP="00211C79">
            <w:pPr>
              <w:pStyle w:val="null3"/>
              <w:jc w:val="both"/>
              <w:rPr>
                <w:rFonts w:ascii="仿宋" w:eastAsia="仿宋" w:hAnsi="仿宋" w:cs="仿宋" w:hint="default"/>
                <w:color w:val="333333"/>
                <w:sz w:val="24"/>
                <w:szCs w:val="24"/>
              </w:rPr>
            </w:pPr>
            <w:r>
              <w:rPr>
                <w:rStyle w:val="a7"/>
                <w:rFonts w:ascii="仿宋" w:eastAsia="仿宋" w:hAnsi="仿宋" w:cs="仿宋"/>
                <w:color w:val="333333"/>
                <w:sz w:val="24"/>
                <w:szCs w:val="24"/>
              </w:rPr>
              <w:t>违约责任：</w:t>
            </w:r>
            <w:r>
              <w:rPr>
                <w:rFonts w:ascii="仿宋" w:eastAsia="仿宋" w:hAnsi="仿宋" w:cs="仿宋"/>
                <w:color w:val="333333"/>
                <w:sz w:val="24"/>
                <w:szCs w:val="24"/>
              </w:rPr>
              <w:t>1、如果成交人未能按照合同约定的时间提供服务的，每逾期一天的，成交人应向采购人支付1000元违约金，若因此给采购人造成损失的，成交人还应赔偿采购人所受的损失</w:t>
            </w:r>
            <w:r w:rsidR="00211C79">
              <w:rPr>
                <w:rFonts w:ascii="仿宋" w:eastAsia="仿宋" w:hAnsi="仿宋" w:cs="仿宋"/>
                <w:color w:val="333333"/>
                <w:sz w:val="24"/>
                <w:szCs w:val="24"/>
              </w:rPr>
              <w:t>；</w:t>
            </w:r>
          </w:p>
          <w:p w:rsidR="00C806B2" w:rsidRDefault="00D15E6A" w:rsidP="00211C79">
            <w:pPr>
              <w:pStyle w:val="null3"/>
              <w:jc w:val="both"/>
              <w:rPr>
                <w:rFonts w:ascii="仿宋" w:eastAsia="仿宋" w:hAnsi="仿宋" w:cs="仿宋" w:hint="default"/>
                <w:color w:val="333333"/>
                <w:sz w:val="24"/>
                <w:szCs w:val="24"/>
              </w:rPr>
            </w:pPr>
            <w:r>
              <w:rPr>
                <w:rFonts w:ascii="仿宋" w:eastAsia="仿宋" w:hAnsi="仿宋" w:cs="仿宋"/>
                <w:color w:val="333333"/>
                <w:sz w:val="24"/>
                <w:szCs w:val="24"/>
              </w:rPr>
              <w:t>2、成交人必须对本项目所涉及的数据保密。本项目履约过程中产生的数据所有权归采购人所有，成交人不具有项目数据的使用权和运营权，成交人不将本项目各类数据信息进行商业用途或作为泄露给任何第三方，如有发生，采购人有权立即终止合同，并要求成交人赔偿违约金，赔偿金为本项目合同总金额的2倍</w:t>
            </w:r>
            <w:r w:rsidR="00211C79">
              <w:rPr>
                <w:rFonts w:ascii="仿宋" w:eastAsia="仿宋" w:hAnsi="仿宋" w:cs="仿宋"/>
                <w:color w:val="333333"/>
                <w:sz w:val="24"/>
                <w:szCs w:val="24"/>
              </w:rPr>
              <w:t>；</w:t>
            </w:r>
          </w:p>
          <w:p w:rsidR="00C806B2" w:rsidRPr="004C08E8" w:rsidRDefault="00D15E6A" w:rsidP="00211C79">
            <w:pPr>
              <w:pStyle w:val="a6"/>
              <w:widowControl/>
              <w:spacing w:beforeAutospacing="0" w:afterAutospacing="0" w:line="210" w:lineRule="atLeast"/>
              <w:jc w:val="both"/>
              <w:rPr>
                <w:rStyle w:val="a7"/>
              </w:rPr>
            </w:pPr>
            <w:r>
              <w:rPr>
                <w:rFonts w:ascii="仿宋" w:eastAsia="仿宋" w:hAnsi="仿宋" w:cs="仿宋" w:hint="eastAsia"/>
                <w:color w:val="333333"/>
              </w:rPr>
              <w:t>3、</w:t>
            </w:r>
            <w:r>
              <w:rPr>
                <w:rFonts w:ascii="仿宋" w:eastAsia="仿宋" w:hAnsi="仿宋" w:cs="仿宋"/>
                <w:color w:val="333333"/>
              </w:rPr>
              <w:t>采购人对</w:t>
            </w:r>
            <w:r>
              <w:rPr>
                <w:rFonts w:ascii="仿宋" w:eastAsia="仿宋" w:hAnsi="仿宋" w:cs="仿宋" w:hint="eastAsia"/>
                <w:color w:val="333333"/>
              </w:rPr>
              <w:t>成交</w:t>
            </w:r>
            <w:r>
              <w:rPr>
                <w:rFonts w:ascii="仿宋" w:eastAsia="仿宋" w:hAnsi="仿宋" w:cs="仿宋"/>
                <w:color w:val="333333"/>
              </w:rPr>
              <w:t>人委派的项目人员享有审核权，</w:t>
            </w:r>
            <w:r>
              <w:rPr>
                <w:rFonts w:ascii="仿宋" w:eastAsia="仿宋" w:hAnsi="仿宋" w:cs="仿宋" w:hint="eastAsia"/>
                <w:color w:val="333333"/>
              </w:rPr>
              <w:t>成交</w:t>
            </w:r>
            <w:r>
              <w:rPr>
                <w:rFonts w:ascii="仿宋" w:eastAsia="仿宋" w:hAnsi="仿宋" w:cs="仿宋"/>
                <w:color w:val="333333"/>
              </w:rPr>
              <w:t>人不得随意更换主要项目人员或者未经采购人同意擅自将合同项下约定的权利义务部分或全部转让给第三方的，采购人有权单方解除合同并要求</w:t>
            </w:r>
            <w:r>
              <w:rPr>
                <w:rFonts w:ascii="仿宋" w:eastAsia="仿宋" w:hAnsi="仿宋" w:cs="仿宋" w:hint="eastAsia"/>
                <w:color w:val="333333"/>
              </w:rPr>
              <w:t>成交</w:t>
            </w:r>
            <w:r>
              <w:rPr>
                <w:rFonts w:ascii="仿宋" w:eastAsia="仿宋" w:hAnsi="仿宋" w:cs="仿宋"/>
                <w:color w:val="333333"/>
              </w:rPr>
              <w:t>人返还采购人已付全部款项，</w:t>
            </w:r>
            <w:r>
              <w:rPr>
                <w:rFonts w:ascii="仿宋" w:eastAsia="仿宋" w:hAnsi="仿宋" w:cs="仿宋" w:hint="eastAsia"/>
                <w:color w:val="333333"/>
              </w:rPr>
              <w:t>成交</w:t>
            </w:r>
            <w:r>
              <w:rPr>
                <w:rFonts w:ascii="仿宋" w:eastAsia="仿宋" w:hAnsi="仿宋" w:cs="仿宋"/>
                <w:color w:val="333333"/>
              </w:rPr>
              <w:t>人还应向采购人支付合同价款的30%作为违约金，违约金不足以弥补采购人损失的，</w:t>
            </w:r>
            <w:r>
              <w:rPr>
                <w:rFonts w:ascii="仿宋" w:eastAsia="仿宋" w:hAnsi="仿宋" w:cs="仿宋" w:hint="eastAsia"/>
                <w:color w:val="333333"/>
              </w:rPr>
              <w:t>成交</w:t>
            </w:r>
            <w:r>
              <w:rPr>
                <w:rFonts w:ascii="仿宋" w:eastAsia="仿宋" w:hAnsi="仿宋" w:cs="仿宋"/>
                <w:color w:val="333333"/>
              </w:rPr>
              <w:t>人应继续赔偿。</w:t>
            </w:r>
          </w:p>
        </w:tc>
        <w:tc>
          <w:tcPr>
            <w:tcW w:w="595" w:type="pct"/>
            <w:tcBorders>
              <w:tl2br w:val="nil"/>
              <w:tr2bl w:val="nil"/>
            </w:tcBorders>
            <w:shd w:val="clear" w:color="auto" w:fill="auto"/>
            <w:tcMar>
              <w:top w:w="0" w:type="dxa"/>
              <w:left w:w="70" w:type="dxa"/>
              <w:bottom w:w="0" w:type="dxa"/>
              <w:right w:w="70" w:type="dxa"/>
            </w:tcMar>
            <w:vAlign w:val="center"/>
          </w:tcPr>
          <w:p w:rsidR="00C806B2" w:rsidRDefault="00C806B2">
            <w:pPr>
              <w:widowControl/>
              <w:jc w:val="left"/>
              <w:rPr>
                <w:rFonts w:ascii="仿宋" w:eastAsia="仿宋" w:hAnsi="仿宋" w:cs="仿宋"/>
                <w:color w:val="333333"/>
                <w:sz w:val="24"/>
              </w:rPr>
            </w:pPr>
          </w:p>
        </w:tc>
      </w:tr>
    </w:tbl>
    <w:p w:rsidR="00C806B2" w:rsidRDefault="00C806B2">
      <w:pPr>
        <w:rPr>
          <w:rFonts w:ascii="仿宋" w:eastAsia="仿宋" w:hAnsi="仿宋" w:cs="仿宋"/>
          <w:sz w:val="28"/>
          <w:szCs w:val="28"/>
        </w:rPr>
      </w:pPr>
    </w:p>
    <w:sectPr w:rsidR="00C806B2" w:rsidSect="00C806B2">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CEB48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E6A" w:rsidRDefault="00D15E6A" w:rsidP="00C806B2">
      <w:r>
        <w:separator/>
      </w:r>
    </w:p>
  </w:endnote>
  <w:endnote w:type="continuationSeparator" w:id="1">
    <w:p w:rsidR="00D15E6A" w:rsidRDefault="00D15E6A" w:rsidP="00C80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B2" w:rsidRDefault="00D42018">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C806B2" w:rsidRDefault="00D15E6A">
                <w:pPr>
                  <w:pStyle w:val="a4"/>
                </w:pPr>
                <w:r>
                  <w:t>第</w:t>
                </w:r>
                <w:r>
                  <w:t xml:space="preserve"> </w:t>
                </w:r>
                <w:r w:rsidR="00D42018">
                  <w:fldChar w:fldCharType="begin"/>
                </w:r>
                <w:r>
                  <w:instrText xml:space="preserve"> PAGE  \* MERGEFORMAT </w:instrText>
                </w:r>
                <w:r w:rsidR="00D42018">
                  <w:fldChar w:fldCharType="separate"/>
                </w:r>
                <w:r w:rsidR="007A6EC8">
                  <w:rPr>
                    <w:noProof/>
                  </w:rPr>
                  <w:t>4</w:t>
                </w:r>
                <w:r w:rsidR="00D42018">
                  <w:fldChar w:fldCharType="end"/>
                </w:r>
                <w:r>
                  <w:t xml:space="preserve"> </w:t>
                </w:r>
                <w:r>
                  <w:t>页</w:t>
                </w:r>
                <w:r>
                  <w:t xml:space="preserve"> </w:t>
                </w:r>
                <w:r>
                  <w:t>共</w:t>
                </w:r>
                <w:r>
                  <w:t xml:space="preserve"> </w:t>
                </w:r>
                <w:fldSimple w:instr=" NUMPAGES  \* MERGEFORMAT ">
                  <w:r w:rsidR="007A6EC8">
                    <w:rPr>
                      <w:noProof/>
                    </w:rPr>
                    <w:t>4</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E6A" w:rsidRDefault="00D15E6A" w:rsidP="00C806B2">
      <w:r>
        <w:separator/>
      </w:r>
    </w:p>
  </w:footnote>
  <w:footnote w:type="continuationSeparator" w:id="1">
    <w:p w:rsidR="00D15E6A" w:rsidRDefault="00D15E6A" w:rsidP="00C806B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eet.℃">
    <w15:presenceInfo w15:providerId="WPS Office" w15:userId="309869817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JhNjY3MjhhZjU0MzM4YTljYjgyOTY4MjU1YmExODIifQ=="/>
  </w:docVars>
  <w:rsids>
    <w:rsidRoot w:val="00172A27"/>
    <w:rsid w:val="EDA34C71"/>
    <w:rsid w:val="F7FFF628"/>
    <w:rsid w:val="000531B6"/>
    <w:rsid w:val="0005462D"/>
    <w:rsid w:val="000A6FE1"/>
    <w:rsid w:val="000E17D5"/>
    <w:rsid w:val="000E3A08"/>
    <w:rsid w:val="001043A1"/>
    <w:rsid w:val="001160E0"/>
    <w:rsid w:val="00121DA1"/>
    <w:rsid w:val="00131B7C"/>
    <w:rsid w:val="00135135"/>
    <w:rsid w:val="00172A27"/>
    <w:rsid w:val="00173172"/>
    <w:rsid w:val="001738EF"/>
    <w:rsid w:val="001E429A"/>
    <w:rsid w:val="00211C79"/>
    <w:rsid w:val="0023025A"/>
    <w:rsid w:val="002840C5"/>
    <w:rsid w:val="002B06D1"/>
    <w:rsid w:val="00313AA9"/>
    <w:rsid w:val="00343FC5"/>
    <w:rsid w:val="003759C9"/>
    <w:rsid w:val="00447F3F"/>
    <w:rsid w:val="004861C7"/>
    <w:rsid w:val="004A0DD2"/>
    <w:rsid w:val="004B3C13"/>
    <w:rsid w:val="004C08E8"/>
    <w:rsid w:val="004E43BF"/>
    <w:rsid w:val="00520776"/>
    <w:rsid w:val="00546252"/>
    <w:rsid w:val="00592F3A"/>
    <w:rsid w:val="005A2D64"/>
    <w:rsid w:val="005E07FF"/>
    <w:rsid w:val="0061452D"/>
    <w:rsid w:val="00620832"/>
    <w:rsid w:val="0065273B"/>
    <w:rsid w:val="00737292"/>
    <w:rsid w:val="007A1CFD"/>
    <w:rsid w:val="007A6EC8"/>
    <w:rsid w:val="007B57BB"/>
    <w:rsid w:val="007D21DC"/>
    <w:rsid w:val="008C250B"/>
    <w:rsid w:val="009C1F7A"/>
    <w:rsid w:val="009E04A0"/>
    <w:rsid w:val="00A3068D"/>
    <w:rsid w:val="00AB3A5C"/>
    <w:rsid w:val="00AD558A"/>
    <w:rsid w:val="00B21D01"/>
    <w:rsid w:val="00B57B22"/>
    <w:rsid w:val="00C7058B"/>
    <w:rsid w:val="00C806B2"/>
    <w:rsid w:val="00C813EA"/>
    <w:rsid w:val="00C823C4"/>
    <w:rsid w:val="00C82EA5"/>
    <w:rsid w:val="00CA4223"/>
    <w:rsid w:val="00CB4FDE"/>
    <w:rsid w:val="00CD6E6A"/>
    <w:rsid w:val="00CE6C04"/>
    <w:rsid w:val="00D15E6A"/>
    <w:rsid w:val="00D42018"/>
    <w:rsid w:val="00D84242"/>
    <w:rsid w:val="00D935FC"/>
    <w:rsid w:val="00DC441C"/>
    <w:rsid w:val="00DD69F5"/>
    <w:rsid w:val="00DE5743"/>
    <w:rsid w:val="00E7005A"/>
    <w:rsid w:val="00ED3C26"/>
    <w:rsid w:val="00EF7950"/>
    <w:rsid w:val="00F70129"/>
    <w:rsid w:val="00F74A57"/>
    <w:rsid w:val="00F94E19"/>
    <w:rsid w:val="00FA00A3"/>
    <w:rsid w:val="00FA274C"/>
    <w:rsid w:val="00FE761B"/>
    <w:rsid w:val="01145609"/>
    <w:rsid w:val="01217276"/>
    <w:rsid w:val="01626374"/>
    <w:rsid w:val="016C2D4F"/>
    <w:rsid w:val="017E0CD4"/>
    <w:rsid w:val="01933707"/>
    <w:rsid w:val="01AF70E0"/>
    <w:rsid w:val="01B46088"/>
    <w:rsid w:val="01D408F4"/>
    <w:rsid w:val="01FA47FF"/>
    <w:rsid w:val="020016E9"/>
    <w:rsid w:val="0261662C"/>
    <w:rsid w:val="026954E1"/>
    <w:rsid w:val="026B3007"/>
    <w:rsid w:val="02B86C41"/>
    <w:rsid w:val="02C1356F"/>
    <w:rsid w:val="02CB619B"/>
    <w:rsid w:val="02D05560"/>
    <w:rsid w:val="02F254D6"/>
    <w:rsid w:val="02FE031F"/>
    <w:rsid w:val="030E7E36"/>
    <w:rsid w:val="030F42DA"/>
    <w:rsid w:val="03123DCA"/>
    <w:rsid w:val="031A67DB"/>
    <w:rsid w:val="031C2553"/>
    <w:rsid w:val="03217B69"/>
    <w:rsid w:val="032D650E"/>
    <w:rsid w:val="0337738D"/>
    <w:rsid w:val="033E4BBF"/>
    <w:rsid w:val="03522419"/>
    <w:rsid w:val="0361440A"/>
    <w:rsid w:val="03863E70"/>
    <w:rsid w:val="03A013D6"/>
    <w:rsid w:val="03A762C0"/>
    <w:rsid w:val="03B44E81"/>
    <w:rsid w:val="03BB1D6C"/>
    <w:rsid w:val="03CF064F"/>
    <w:rsid w:val="04003C23"/>
    <w:rsid w:val="04267B2D"/>
    <w:rsid w:val="042C0EBC"/>
    <w:rsid w:val="043438CC"/>
    <w:rsid w:val="0442248D"/>
    <w:rsid w:val="045C354F"/>
    <w:rsid w:val="045F6B9B"/>
    <w:rsid w:val="0462668B"/>
    <w:rsid w:val="046C3066"/>
    <w:rsid w:val="046E6DDE"/>
    <w:rsid w:val="049251C3"/>
    <w:rsid w:val="04983E5B"/>
    <w:rsid w:val="049D76C3"/>
    <w:rsid w:val="049F51EA"/>
    <w:rsid w:val="04A722F0"/>
    <w:rsid w:val="04C11604"/>
    <w:rsid w:val="04CF728E"/>
    <w:rsid w:val="04ED41A7"/>
    <w:rsid w:val="04FE4606"/>
    <w:rsid w:val="0525564C"/>
    <w:rsid w:val="055661F0"/>
    <w:rsid w:val="05607CB6"/>
    <w:rsid w:val="05663F59"/>
    <w:rsid w:val="05CD3FD8"/>
    <w:rsid w:val="05DD1F63"/>
    <w:rsid w:val="05DE7F94"/>
    <w:rsid w:val="05F96B7B"/>
    <w:rsid w:val="061A5470"/>
    <w:rsid w:val="06210291"/>
    <w:rsid w:val="065F10D4"/>
    <w:rsid w:val="067F1777"/>
    <w:rsid w:val="06826B71"/>
    <w:rsid w:val="068E5516"/>
    <w:rsid w:val="069D1BFD"/>
    <w:rsid w:val="070D6D82"/>
    <w:rsid w:val="071719AF"/>
    <w:rsid w:val="072A4378"/>
    <w:rsid w:val="073C31C4"/>
    <w:rsid w:val="07434552"/>
    <w:rsid w:val="074F739B"/>
    <w:rsid w:val="07862691"/>
    <w:rsid w:val="079E79DA"/>
    <w:rsid w:val="07B216D8"/>
    <w:rsid w:val="07E15B19"/>
    <w:rsid w:val="080C528C"/>
    <w:rsid w:val="082A3964"/>
    <w:rsid w:val="085207C5"/>
    <w:rsid w:val="08564759"/>
    <w:rsid w:val="08732C15"/>
    <w:rsid w:val="0895702F"/>
    <w:rsid w:val="089A2898"/>
    <w:rsid w:val="08B5322E"/>
    <w:rsid w:val="08E9737B"/>
    <w:rsid w:val="08FA1862"/>
    <w:rsid w:val="091066B6"/>
    <w:rsid w:val="091E5277"/>
    <w:rsid w:val="09336848"/>
    <w:rsid w:val="09414AC1"/>
    <w:rsid w:val="094B1DE4"/>
    <w:rsid w:val="0966277A"/>
    <w:rsid w:val="0978425B"/>
    <w:rsid w:val="098A290C"/>
    <w:rsid w:val="09AB63DF"/>
    <w:rsid w:val="09C63218"/>
    <w:rsid w:val="09C94AB7"/>
    <w:rsid w:val="09DF2CCA"/>
    <w:rsid w:val="09E0252C"/>
    <w:rsid w:val="09E33DCA"/>
    <w:rsid w:val="09ED2E9B"/>
    <w:rsid w:val="0A0C3321"/>
    <w:rsid w:val="0A2C751F"/>
    <w:rsid w:val="0A326B00"/>
    <w:rsid w:val="0A546A76"/>
    <w:rsid w:val="0A5D696F"/>
    <w:rsid w:val="0A762E91"/>
    <w:rsid w:val="0AB15C77"/>
    <w:rsid w:val="0AB614DF"/>
    <w:rsid w:val="0ABB18DB"/>
    <w:rsid w:val="0ABD0ABF"/>
    <w:rsid w:val="0AD61B81"/>
    <w:rsid w:val="0ADD6A6C"/>
    <w:rsid w:val="0B161F7E"/>
    <w:rsid w:val="0B187AA4"/>
    <w:rsid w:val="0B666A61"/>
    <w:rsid w:val="0B8E7D66"/>
    <w:rsid w:val="0B901D30"/>
    <w:rsid w:val="0BA207B5"/>
    <w:rsid w:val="0BBE4AEF"/>
    <w:rsid w:val="0BDB744F"/>
    <w:rsid w:val="0BE34556"/>
    <w:rsid w:val="0BF64289"/>
    <w:rsid w:val="0BFE313E"/>
    <w:rsid w:val="0C012C2E"/>
    <w:rsid w:val="0C087B18"/>
    <w:rsid w:val="0C1A784C"/>
    <w:rsid w:val="0C1D75DB"/>
    <w:rsid w:val="0C1F4E62"/>
    <w:rsid w:val="0C985340"/>
    <w:rsid w:val="0C9E222B"/>
    <w:rsid w:val="0CA05D38"/>
    <w:rsid w:val="0CB832EC"/>
    <w:rsid w:val="0CCA74C4"/>
    <w:rsid w:val="0CCF21D2"/>
    <w:rsid w:val="0CD81BE1"/>
    <w:rsid w:val="0CE265BB"/>
    <w:rsid w:val="0D080EBF"/>
    <w:rsid w:val="0D0C188A"/>
    <w:rsid w:val="0D1129FD"/>
    <w:rsid w:val="0D1B387B"/>
    <w:rsid w:val="0D3606B5"/>
    <w:rsid w:val="0D4B3D8E"/>
    <w:rsid w:val="0D611BD6"/>
    <w:rsid w:val="0D6D057B"/>
    <w:rsid w:val="0D7042CE"/>
    <w:rsid w:val="0D731909"/>
    <w:rsid w:val="0D8458C4"/>
    <w:rsid w:val="0DA72068"/>
    <w:rsid w:val="0DA9532B"/>
    <w:rsid w:val="0DB717F6"/>
    <w:rsid w:val="0DE6032D"/>
    <w:rsid w:val="0DED5218"/>
    <w:rsid w:val="0DF06AB6"/>
    <w:rsid w:val="0DF30354"/>
    <w:rsid w:val="0DFC545B"/>
    <w:rsid w:val="0E0D58BA"/>
    <w:rsid w:val="0E197DBB"/>
    <w:rsid w:val="0E3A41D5"/>
    <w:rsid w:val="0E4137B5"/>
    <w:rsid w:val="0E4F7C80"/>
    <w:rsid w:val="0E71409B"/>
    <w:rsid w:val="0E7616B1"/>
    <w:rsid w:val="0E8437DC"/>
    <w:rsid w:val="0EB14497"/>
    <w:rsid w:val="0EB83A78"/>
    <w:rsid w:val="0ECA37AB"/>
    <w:rsid w:val="0ECC307F"/>
    <w:rsid w:val="0EE859DF"/>
    <w:rsid w:val="0F1D38DB"/>
    <w:rsid w:val="0F3B1FB3"/>
    <w:rsid w:val="0F492922"/>
    <w:rsid w:val="0F5372FC"/>
    <w:rsid w:val="0F692FC4"/>
    <w:rsid w:val="0F8751F8"/>
    <w:rsid w:val="0FB56209"/>
    <w:rsid w:val="0FD66E76"/>
    <w:rsid w:val="0FDF3BF3"/>
    <w:rsid w:val="0FF02D9D"/>
    <w:rsid w:val="0FFC3E38"/>
    <w:rsid w:val="10014FAA"/>
    <w:rsid w:val="100603BB"/>
    <w:rsid w:val="10086339"/>
    <w:rsid w:val="102A2753"/>
    <w:rsid w:val="106F63B8"/>
    <w:rsid w:val="107E2A9F"/>
    <w:rsid w:val="109127D2"/>
    <w:rsid w:val="10A33A3D"/>
    <w:rsid w:val="10A67900"/>
    <w:rsid w:val="10CC744E"/>
    <w:rsid w:val="10DB57FB"/>
    <w:rsid w:val="10F468BD"/>
    <w:rsid w:val="110E5BD1"/>
    <w:rsid w:val="112F5B47"/>
    <w:rsid w:val="11382C4E"/>
    <w:rsid w:val="114C494B"/>
    <w:rsid w:val="11586E4C"/>
    <w:rsid w:val="116457F1"/>
    <w:rsid w:val="1184611D"/>
    <w:rsid w:val="1186357B"/>
    <w:rsid w:val="11A227BD"/>
    <w:rsid w:val="11CC3396"/>
    <w:rsid w:val="11E93F48"/>
    <w:rsid w:val="1292438F"/>
    <w:rsid w:val="12F40DF6"/>
    <w:rsid w:val="13031039"/>
    <w:rsid w:val="130354DD"/>
    <w:rsid w:val="133B07D3"/>
    <w:rsid w:val="133D09EF"/>
    <w:rsid w:val="13441D7E"/>
    <w:rsid w:val="134A310C"/>
    <w:rsid w:val="134E49AB"/>
    <w:rsid w:val="135B2C24"/>
    <w:rsid w:val="138A52B7"/>
    <w:rsid w:val="139879D4"/>
    <w:rsid w:val="13AE369B"/>
    <w:rsid w:val="13AE71F7"/>
    <w:rsid w:val="13CC3B21"/>
    <w:rsid w:val="14302302"/>
    <w:rsid w:val="14397409"/>
    <w:rsid w:val="143F7A1B"/>
    <w:rsid w:val="14432035"/>
    <w:rsid w:val="14661880"/>
    <w:rsid w:val="14787805"/>
    <w:rsid w:val="14885C9A"/>
    <w:rsid w:val="14B4083D"/>
    <w:rsid w:val="14C12F5A"/>
    <w:rsid w:val="14CB202B"/>
    <w:rsid w:val="14CB3DD9"/>
    <w:rsid w:val="14D64C58"/>
    <w:rsid w:val="14FE41AE"/>
    <w:rsid w:val="15567B46"/>
    <w:rsid w:val="1559539C"/>
    <w:rsid w:val="15657D89"/>
    <w:rsid w:val="15916DD0"/>
    <w:rsid w:val="15AC3C0A"/>
    <w:rsid w:val="15AC7766"/>
    <w:rsid w:val="15BB138C"/>
    <w:rsid w:val="15BB209F"/>
    <w:rsid w:val="16092E0B"/>
    <w:rsid w:val="161A5018"/>
    <w:rsid w:val="161A6DC6"/>
    <w:rsid w:val="162C356B"/>
    <w:rsid w:val="166444E5"/>
    <w:rsid w:val="166B13D0"/>
    <w:rsid w:val="1695644C"/>
    <w:rsid w:val="169A1CB5"/>
    <w:rsid w:val="16CA07EC"/>
    <w:rsid w:val="16CB1E6E"/>
    <w:rsid w:val="16CF5E02"/>
    <w:rsid w:val="16D056D6"/>
    <w:rsid w:val="16F5513D"/>
    <w:rsid w:val="171B1048"/>
    <w:rsid w:val="17732C32"/>
    <w:rsid w:val="179B5CE4"/>
    <w:rsid w:val="179E7583"/>
    <w:rsid w:val="17A536B9"/>
    <w:rsid w:val="17CF598E"/>
    <w:rsid w:val="17F04282"/>
    <w:rsid w:val="17FD699F"/>
    <w:rsid w:val="18277578"/>
    <w:rsid w:val="18383533"/>
    <w:rsid w:val="183C74C7"/>
    <w:rsid w:val="183D0B4A"/>
    <w:rsid w:val="184C3483"/>
    <w:rsid w:val="185A16FC"/>
    <w:rsid w:val="188D6FAE"/>
    <w:rsid w:val="18AB1F57"/>
    <w:rsid w:val="18B232E6"/>
    <w:rsid w:val="18BC23B6"/>
    <w:rsid w:val="18D524FF"/>
    <w:rsid w:val="18DF60A5"/>
    <w:rsid w:val="18F71640"/>
    <w:rsid w:val="18F96495"/>
    <w:rsid w:val="19241D0A"/>
    <w:rsid w:val="193957B5"/>
    <w:rsid w:val="194A79C2"/>
    <w:rsid w:val="194D1260"/>
    <w:rsid w:val="19573E8D"/>
    <w:rsid w:val="195E7F0D"/>
    <w:rsid w:val="198527A8"/>
    <w:rsid w:val="199E673F"/>
    <w:rsid w:val="19A74E14"/>
    <w:rsid w:val="19DB2D10"/>
    <w:rsid w:val="19DF45AE"/>
    <w:rsid w:val="19E27BFB"/>
    <w:rsid w:val="19E82D37"/>
    <w:rsid w:val="1A136006"/>
    <w:rsid w:val="1A240213"/>
    <w:rsid w:val="1A277D03"/>
    <w:rsid w:val="1A385A6D"/>
    <w:rsid w:val="1A5328A6"/>
    <w:rsid w:val="1A5F2FF9"/>
    <w:rsid w:val="1A606D71"/>
    <w:rsid w:val="1A646826"/>
    <w:rsid w:val="1A7D3DC7"/>
    <w:rsid w:val="1A952EBF"/>
    <w:rsid w:val="1AA44EB0"/>
    <w:rsid w:val="1AB570BD"/>
    <w:rsid w:val="1ACE4623"/>
    <w:rsid w:val="1B140288"/>
    <w:rsid w:val="1B1C0EEA"/>
    <w:rsid w:val="1B2129A5"/>
    <w:rsid w:val="1B2B55D1"/>
    <w:rsid w:val="1B4B5C73"/>
    <w:rsid w:val="1B6D7998"/>
    <w:rsid w:val="1BA333BA"/>
    <w:rsid w:val="1BA75E36"/>
    <w:rsid w:val="1BBC447B"/>
    <w:rsid w:val="1BCF0653"/>
    <w:rsid w:val="1BD01CD5"/>
    <w:rsid w:val="1C493F61"/>
    <w:rsid w:val="1C4C57FF"/>
    <w:rsid w:val="1C4F3541"/>
    <w:rsid w:val="1C640D9B"/>
    <w:rsid w:val="1CBE5D71"/>
    <w:rsid w:val="1CD31A7D"/>
    <w:rsid w:val="1D0460DA"/>
    <w:rsid w:val="1D1327C1"/>
    <w:rsid w:val="1D2764E1"/>
    <w:rsid w:val="1D552DD9"/>
    <w:rsid w:val="1D6D0123"/>
    <w:rsid w:val="1D886D0B"/>
    <w:rsid w:val="1D970CFC"/>
    <w:rsid w:val="1DD71A40"/>
    <w:rsid w:val="1DD852A4"/>
    <w:rsid w:val="1DE101C9"/>
    <w:rsid w:val="1DE33F41"/>
    <w:rsid w:val="1DFA65D4"/>
    <w:rsid w:val="1E19564F"/>
    <w:rsid w:val="1E2527AC"/>
    <w:rsid w:val="1E3E561C"/>
    <w:rsid w:val="1E7948A6"/>
    <w:rsid w:val="1E911BEF"/>
    <w:rsid w:val="1E984D2C"/>
    <w:rsid w:val="1EA71413"/>
    <w:rsid w:val="1EC73863"/>
    <w:rsid w:val="1EF04B68"/>
    <w:rsid w:val="1EFA3C38"/>
    <w:rsid w:val="1F120F82"/>
    <w:rsid w:val="1F15637C"/>
    <w:rsid w:val="1F1A1BE5"/>
    <w:rsid w:val="1F3031B6"/>
    <w:rsid w:val="1F446C62"/>
    <w:rsid w:val="1F833C2E"/>
    <w:rsid w:val="1FAD6EFF"/>
    <w:rsid w:val="1FBE07C2"/>
    <w:rsid w:val="1FEC17D3"/>
    <w:rsid w:val="200C1F5C"/>
    <w:rsid w:val="202820DF"/>
    <w:rsid w:val="20384A18"/>
    <w:rsid w:val="20542ED4"/>
    <w:rsid w:val="20765541"/>
    <w:rsid w:val="209165D3"/>
    <w:rsid w:val="209D0D1F"/>
    <w:rsid w:val="209D487B"/>
    <w:rsid w:val="20A35C0A"/>
    <w:rsid w:val="20A6041C"/>
    <w:rsid w:val="20AA6F98"/>
    <w:rsid w:val="20E07ADB"/>
    <w:rsid w:val="20FF1092"/>
    <w:rsid w:val="211D776A"/>
    <w:rsid w:val="2120725A"/>
    <w:rsid w:val="213827F6"/>
    <w:rsid w:val="214D44F3"/>
    <w:rsid w:val="21780E44"/>
    <w:rsid w:val="219C0FD7"/>
    <w:rsid w:val="21A734D8"/>
    <w:rsid w:val="21C5052E"/>
    <w:rsid w:val="21D4251F"/>
    <w:rsid w:val="21D7200F"/>
    <w:rsid w:val="21F77FBB"/>
    <w:rsid w:val="221072CF"/>
    <w:rsid w:val="221F7512"/>
    <w:rsid w:val="222A0391"/>
    <w:rsid w:val="222F1E4B"/>
    <w:rsid w:val="22356D36"/>
    <w:rsid w:val="2248703F"/>
    <w:rsid w:val="22590C76"/>
    <w:rsid w:val="225B679C"/>
    <w:rsid w:val="226C09A9"/>
    <w:rsid w:val="22750C92"/>
    <w:rsid w:val="22791318"/>
    <w:rsid w:val="22821F7B"/>
    <w:rsid w:val="22AD4B1E"/>
    <w:rsid w:val="22B10AB2"/>
    <w:rsid w:val="22FF7A6F"/>
    <w:rsid w:val="23045086"/>
    <w:rsid w:val="231828DF"/>
    <w:rsid w:val="231A6657"/>
    <w:rsid w:val="231B23CF"/>
    <w:rsid w:val="232C1EE7"/>
    <w:rsid w:val="235C6C70"/>
    <w:rsid w:val="23B51EDC"/>
    <w:rsid w:val="23C40371"/>
    <w:rsid w:val="23CA40F9"/>
    <w:rsid w:val="23F944BF"/>
    <w:rsid w:val="24134E54"/>
    <w:rsid w:val="241E2177"/>
    <w:rsid w:val="242B03F0"/>
    <w:rsid w:val="24374FE7"/>
    <w:rsid w:val="246456B0"/>
    <w:rsid w:val="247B4ED4"/>
    <w:rsid w:val="24B86BC7"/>
    <w:rsid w:val="24F1163A"/>
    <w:rsid w:val="252E63EA"/>
    <w:rsid w:val="253F4153"/>
    <w:rsid w:val="2572277A"/>
    <w:rsid w:val="258B7398"/>
    <w:rsid w:val="258E0C37"/>
    <w:rsid w:val="25DF76E4"/>
    <w:rsid w:val="26025181"/>
    <w:rsid w:val="261F21D6"/>
    <w:rsid w:val="26234D89"/>
    <w:rsid w:val="263E440B"/>
    <w:rsid w:val="267C13D7"/>
    <w:rsid w:val="269F0C21"/>
    <w:rsid w:val="26C012C4"/>
    <w:rsid w:val="26D842D4"/>
    <w:rsid w:val="26E31456"/>
    <w:rsid w:val="272E26D1"/>
    <w:rsid w:val="273870AC"/>
    <w:rsid w:val="273D46C2"/>
    <w:rsid w:val="274719E5"/>
    <w:rsid w:val="276C144B"/>
    <w:rsid w:val="277327DA"/>
    <w:rsid w:val="279B763B"/>
    <w:rsid w:val="27E2526A"/>
    <w:rsid w:val="27E40FE2"/>
    <w:rsid w:val="27E64D5A"/>
    <w:rsid w:val="27FF5E1C"/>
    <w:rsid w:val="28185CCE"/>
    <w:rsid w:val="28355CE1"/>
    <w:rsid w:val="28373807"/>
    <w:rsid w:val="28500425"/>
    <w:rsid w:val="287E31E4"/>
    <w:rsid w:val="287E4F92"/>
    <w:rsid w:val="28812CD5"/>
    <w:rsid w:val="2886653D"/>
    <w:rsid w:val="28916697"/>
    <w:rsid w:val="289522DC"/>
    <w:rsid w:val="28C3796E"/>
    <w:rsid w:val="28CF06A1"/>
    <w:rsid w:val="28E15521"/>
    <w:rsid w:val="28E3573D"/>
    <w:rsid w:val="28F17E5A"/>
    <w:rsid w:val="28F80B30"/>
    <w:rsid w:val="291476A5"/>
    <w:rsid w:val="291D29FD"/>
    <w:rsid w:val="291E0523"/>
    <w:rsid w:val="29494952"/>
    <w:rsid w:val="295D729E"/>
    <w:rsid w:val="297812BE"/>
    <w:rsid w:val="299D769A"/>
    <w:rsid w:val="29A14838"/>
    <w:rsid w:val="29A22F02"/>
    <w:rsid w:val="29B175E9"/>
    <w:rsid w:val="29B449E4"/>
    <w:rsid w:val="29D60DFE"/>
    <w:rsid w:val="29E65E68"/>
    <w:rsid w:val="2A1D4C7F"/>
    <w:rsid w:val="2A68414C"/>
    <w:rsid w:val="2A6B1546"/>
    <w:rsid w:val="2A726D79"/>
    <w:rsid w:val="2AA66A22"/>
    <w:rsid w:val="2ADF3CE2"/>
    <w:rsid w:val="2B204A27"/>
    <w:rsid w:val="2B6A3EF4"/>
    <w:rsid w:val="2BA54F2C"/>
    <w:rsid w:val="2BAA42F0"/>
    <w:rsid w:val="2BBE7D9C"/>
    <w:rsid w:val="2BD355F5"/>
    <w:rsid w:val="2BE55328"/>
    <w:rsid w:val="2BEC2B5B"/>
    <w:rsid w:val="2BF11F1F"/>
    <w:rsid w:val="2C071743"/>
    <w:rsid w:val="2C3A1B18"/>
    <w:rsid w:val="2C567FD4"/>
    <w:rsid w:val="2C783A9D"/>
    <w:rsid w:val="2C844B41"/>
    <w:rsid w:val="2C8763E0"/>
    <w:rsid w:val="2C8965FC"/>
    <w:rsid w:val="2CEE0760"/>
    <w:rsid w:val="2D031F0A"/>
    <w:rsid w:val="2D3E1194"/>
    <w:rsid w:val="2D8E211C"/>
    <w:rsid w:val="2DF83A39"/>
    <w:rsid w:val="2E0F2B31"/>
    <w:rsid w:val="2E13617D"/>
    <w:rsid w:val="2E310CF9"/>
    <w:rsid w:val="2E4427DA"/>
    <w:rsid w:val="2E552C39"/>
    <w:rsid w:val="2E5A0250"/>
    <w:rsid w:val="2E775838"/>
    <w:rsid w:val="2E921798"/>
    <w:rsid w:val="2EA8720D"/>
    <w:rsid w:val="2EC851B9"/>
    <w:rsid w:val="2F124686"/>
    <w:rsid w:val="2F261EE0"/>
    <w:rsid w:val="2F4862FA"/>
    <w:rsid w:val="2F6D3FB3"/>
    <w:rsid w:val="2F7A423F"/>
    <w:rsid w:val="2F7B66D0"/>
    <w:rsid w:val="2F8D6403"/>
    <w:rsid w:val="2FB219C5"/>
    <w:rsid w:val="2FFB336C"/>
    <w:rsid w:val="302428C3"/>
    <w:rsid w:val="30326609"/>
    <w:rsid w:val="30470360"/>
    <w:rsid w:val="30550CCF"/>
    <w:rsid w:val="30586A11"/>
    <w:rsid w:val="306E1D90"/>
    <w:rsid w:val="30A43A04"/>
    <w:rsid w:val="30B73737"/>
    <w:rsid w:val="30DA11D4"/>
    <w:rsid w:val="311F308B"/>
    <w:rsid w:val="312468F3"/>
    <w:rsid w:val="31305298"/>
    <w:rsid w:val="313B5C41"/>
    <w:rsid w:val="31436D79"/>
    <w:rsid w:val="315C608D"/>
    <w:rsid w:val="315C7E3B"/>
    <w:rsid w:val="316A69FC"/>
    <w:rsid w:val="317038E6"/>
    <w:rsid w:val="31943A79"/>
    <w:rsid w:val="319E48F7"/>
    <w:rsid w:val="31B5579D"/>
    <w:rsid w:val="31C003CA"/>
    <w:rsid w:val="31D64091"/>
    <w:rsid w:val="31F12C79"/>
    <w:rsid w:val="31F2079F"/>
    <w:rsid w:val="32127889"/>
    <w:rsid w:val="32180206"/>
    <w:rsid w:val="321F34EA"/>
    <w:rsid w:val="3220355E"/>
    <w:rsid w:val="32244DFC"/>
    <w:rsid w:val="32286055"/>
    <w:rsid w:val="323112C7"/>
    <w:rsid w:val="32356A97"/>
    <w:rsid w:val="324F5BF1"/>
    <w:rsid w:val="32870003"/>
    <w:rsid w:val="328A09D8"/>
    <w:rsid w:val="32AF043E"/>
    <w:rsid w:val="32B1065A"/>
    <w:rsid w:val="32B85545"/>
    <w:rsid w:val="32FA790B"/>
    <w:rsid w:val="33114C55"/>
    <w:rsid w:val="3312392D"/>
    <w:rsid w:val="33240E2C"/>
    <w:rsid w:val="332E5807"/>
    <w:rsid w:val="334D2131"/>
    <w:rsid w:val="3355548A"/>
    <w:rsid w:val="339E298D"/>
    <w:rsid w:val="33E505BB"/>
    <w:rsid w:val="34076784"/>
    <w:rsid w:val="341D7D55"/>
    <w:rsid w:val="341E3ACD"/>
    <w:rsid w:val="341E587B"/>
    <w:rsid w:val="343B01DB"/>
    <w:rsid w:val="344C4197"/>
    <w:rsid w:val="34637732"/>
    <w:rsid w:val="34733E19"/>
    <w:rsid w:val="34802092"/>
    <w:rsid w:val="349D49F2"/>
    <w:rsid w:val="34B955A4"/>
    <w:rsid w:val="34BD5094"/>
    <w:rsid w:val="34D10B40"/>
    <w:rsid w:val="34F82570"/>
    <w:rsid w:val="350E769E"/>
    <w:rsid w:val="351D5B33"/>
    <w:rsid w:val="355A0B35"/>
    <w:rsid w:val="359009FB"/>
    <w:rsid w:val="35926521"/>
    <w:rsid w:val="359C134D"/>
    <w:rsid w:val="35BC70FA"/>
    <w:rsid w:val="35E52AF5"/>
    <w:rsid w:val="360F3492"/>
    <w:rsid w:val="360F36CE"/>
    <w:rsid w:val="361433DA"/>
    <w:rsid w:val="362F5B1E"/>
    <w:rsid w:val="36321AB2"/>
    <w:rsid w:val="364D41F6"/>
    <w:rsid w:val="36624145"/>
    <w:rsid w:val="366A124C"/>
    <w:rsid w:val="366A2FFA"/>
    <w:rsid w:val="367479D5"/>
    <w:rsid w:val="367F4CF7"/>
    <w:rsid w:val="368340BC"/>
    <w:rsid w:val="36B50719"/>
    <w:rsid w:val="36C22E36"/>
    <w:rsid w:val="36E763F9"/>
    <w:rsid w:val="36EE3C2B"/>
    <w:rsid w:val="37060F75"/>
    <w:rsid w:val="371371EE"/>
    <w:rsid w:val="37537F32"/>
    <w:rsid w:val="375515B4"/>
    <w:rsid w:val="37702892"/>
    <w:rsid w:val="3776777C"/>
    <w:rsid w:val="37887BDC"/>
    <w:rsid w:val="37A10C9D"/>
    <w:rsid w:val="37CB7AC8"/>
    <w:rsid w:val="37E90C3B"/>
    <w:rsid w:val="38190834"/>
    <w:rsid w:val="3836588A"/>
    <w:rsid w:val="383A69FC"/>
    <w:rsid w:val="384358B1"/>
    <w:rsid w:val="38482EC7"/>
    <w:rsid w:val="385B0E4C"/>
    <w:rsid w:val="38657F1D"/>
    <w:rsid w:val="38991974"/>
    <w:rsid w:val="38E57781"/>
    <w:rsid w:val="38F17A02"/>
    <w:rsid w:val="3902751A"/>
    <w:rsid w:val="394713D0"/>
    <w:rsid w:val="39475874"/>
    <w:rsid w:val="394E6C03"/>
    <w:rsid w:val="39563D17"/>
    <w:rsid w:val="395A55A8"/>
    <w:rsid w:val="39783C80"/>
    <w:rsid w:val="39882115"/>
    <w:rsid w:val="398B750F"/>
    <w:rsid w:val="398E5251"/>
    <w:rsid w:val="39A71E6F"/>
    <w:rsid w:val="39A95BE7"/>
    <w:rsid w:val="39B27192"/>
    <w:rsid w:val="39C762B0"/>
    <w:rsid w:val="39C90037"/>
    <w:rsid w:val="39DF785B"/>
    <w:rsid w:val="39E906DA"/>
    <w:rsid w:val="39FA6443"/>
    <w:rsid w:val="3A294033"/>
    <w:rsid w:val="3A331955"/>
    <w:rsid w:val="3A347BA7"/>
    <w:rsid w:val="3A6D130B"/>
    <w:rsid w:val="3A8F1281"/>
    <w:rsid w:val="3AA7481D"/>
    <w:rsid w:val="3AC0143A"/>
    <w:rsid w:val="3ACA22B9"/>
    <w:rsid w:val="3ACD3B57"/>
    <w:rsid w:val="3AF9494C"/>
    <w:rsid w:val="3B0D0B61"/>
    <w:rsid w:val="3B0E03F8"/>
    <w:rsid w:val="3B190B4B"/>
    <w:rsid w:val="3B1A3241"/>
    <w:rsid w:val="3B20012B"/>
    <w:rsid w:val="3B4474A0"/>
    <w:rsid w:val="3B451940"/>
    <w:rsid w:val="3B912DD7"/>
    <w:rsid w:val="3B9F54F4"/>
    <w:rsid w:val="3BA23236"/>
    <w:rsid w:val="3BA7084C"/>
    <w:rsid w:val="3BB0325D"/>
    <w:rsid w:val="3BF70E8C"/>
    <w:rsid w:val="3C123F18"/>
    <w:rsid w:val="3C1C6B44"/>
    <w:rsid w:val="3C243C4B"/>
    <w:rsid w:val="3C3420E0"/>
    <w:rsid w:val="3C3814A4"/>
    <w:rsid w:val="3C695E4A"/>
    <w:rsid w:val="3C917532"/>
    <w:rsid w:val="3CA408E8"/>
    <w:rsid w:val="3CB163D2"/>
    <w:rsid w:val="3CC316B6"/>
    <w:rsid w:val="3CD13DD3"/>
    <w:rsid w:val="3CEA09F1"/>
    <w:rsid w:val="3D0715A3"/>
    <w:rsid w:val="3D09356D"/>
    <w:rsid w:val="3D141F11"/>
    <w:rsid w:val="3D202664"/>
    <w:rsid w:val="3D4F6AA6"/>
    <w:rsid w:val="3D597924"/>
    <w:rsid w:val="3D943D3A"/>
    <w:rsid w:val="3DA74B34"/>
    <w:rsid w:val="3DA768E2"/>
    <w:rsid w:val="3DB8289D"/>
    <w:rsid w:val="3DC01751"/>
    <w:rsid w:val="3DD84CED"/>
    <w:rsid w:val="3DF5764D"/>
    <w:rsid w:val="3E241CE0"/>
    <w:rsid w:val="3E5D51F2"/>
    <w:rsid w:val="3E726EF0"/>
    <w:rsid w:val="3E8B6203"/>
    <w:rsid w:val="3E8E35FE"/>
    <w:rsid w:val="3E921340"/>
    <w:rsid w:val="3EBC63BD"/>
    <w:rsid w:val="3EDE27D7"/>
    <w:rsid w:val="3EEF0540"/>
    <w:rsid w:val="3EFE4C27"/>
    <w:rsid w:val="3F0D09C6"/>
    <w:rsid w:val="3F171845"/>
    <w:rsid w:val="3F255D10"/>
    <w:rsid w:val="3F397A0D"/>
    <w:rsid w:val="3F67457A"/>
    <w:rsid w:val="3F966C0E"/>
    <w:rsid w:val="3FC27A03"/>
    <w:rsid w:val="3FC76DC7"/>
    <w:rsid w:val="3FCB2D5B"/>
    <w:rsid w:val="3FFF2A05"/>
    <w:rsid w:val="406311E6"/>
    <w:rsid w:val="407451A1"/>
    <w:rsid w:val="40890521"/>
    <w:rsid w:val="409018AF"/>
    <w:rsid w:val="40AE7C64"/>
    <w:rsid w:val="40B51210"/>
    <w:rsid w:val="40BA4B7E"/>
    <w:rsid w:val="40C81049"/>
    <w:rsid w:val="40CD2B03"/>
    <w:rsid w:val="410858E9"/>
    <w:rsid w:val="410B53D9"/>
    <w:rsid w:val="410D1152"/>
    <w:rsid w:val="412546ED"/>
    <w:rsid w:val="41263FC1"/>
    <w:rsid w:val="415E19AD"/>
    <w:rsid w:val="416A2100"/>
    <w:rsid w:val="41AC096A"/>
    <w:rsid w:val="41B65345"/>
    <w:rsid w:val="41E06866"/>
    <w:rsid w:val="41FB71FC"/>
    <w:rsid w:val="420C1409"/>
    <w:rsid w:val="421A58D4"/>
    <w:rsid w:val="423746D8"/>
    <w:rsid w:val="423F358D"/>
    <w:rsid w:val="42415557"/>
    <w:rsid w:val="42530DE6"/>
    <w:rsid w:val="426E79CE"/>
    <w:rsid w:val="42703746"/>
    <w:rsid w:val="4278084D"/>
    <w:rsid w:val="427B0889"/>
    <w:rsid w:val="427F1BDB"/>
    <w:rsid w:val="42903DE8"/>
    <w:rsid w:val="42A653BA"/>
    <w:rsid w:val="42B75819"/>
    <w:rsid w:val="42C910A8"/>
    <w:rsid w:val="42D00689"/>
    <w:rsid w:val="42D9578F"/>
    <w:rsid w:val="42DF267A"/>
    <w:rsid w:val="430345BA"/>
    <w:rsid w:val="430D368B"/>
    <w:rsid w:val="43486471"/>
    <w:rsid w:val="435E7A42"/>
    <w:rsid w:val="43657023"/>
    <w:rsid w:val="43A63197"/>
    <w:rsid w:val="43B458B4"/>
    <w:rsid w:val="43BC29BB"/>
    <w:rsid w:val="43C97F97"/>
    <w:rsid w:val="43CD6976"/>
    <w:rsid w:val="440F51E1"/>
    <w:rsid w:val="441F5424"/>
    <w:rsid w:val="442567B2"/>
    <w:rsid w:val="442C5D93"/>
    <w:rsid w:val="4436276D"/>
    <w:rsid w:val="44623562"/>
    <w:rsid w:val="44956565"/>
    <w:rsid w:val="44A45929"/>
    <w:rsid w:val="44B813D4"/>
    <w:rsid w:val="44C9118C"/>
    <w:rsid w:val="44FF7003"/>
    <w:rsid w:val="45132AAF"/>
    <w:rsid w:val="455C4456"/>
    <w:rsid w:val="45806396"/>
    <w:rsid w:val="45813EBC"/>
    <w:rsid w:val="459040FF"/>
    <w:rsid w:val="45921C25"/>
    <w:rsid w:val="45991206"/>
    <w:rsid w:val="459C2AA4"/>
    <w:rsid w:val="45A51959"/>
    <w:rsid w:val="45B30F11"/>
    <w:rsid w:val="45B95404"/>
    <w:rsid w:val="45D67D64"/>
    <w:rsid w:val="45E05087"/>
    <w:rsid w:val="45F36B68"/>
    <w:rsid w:val="45F465A2"/>
    <w:rsid w:val="461152FD"/>
    <w:rsid w:val="465A0995"/>
    <w:rsid w:val="466E0628"/>
    <w:rsid w:val="4674757D"/>
    <w:rsid w:val="46965D88"/>
    <w:rsid w:val="46A75BA4"/>
    <w:rsid w:val="46B75DE7"/>
    <w:rsid w:val="46F10BCE"/>
    <w:rsid w:val="471F573B"/>
    <w:rsid w:val="47490A0A"/>
    <w:rsid w:val="47523D62"/>
    <w:rsid w:val="47655843"/>
    <w:rsid w:val="47941C85"/>
    <w:rsid w:val="479E6FA7"/>
    <w:rsid w:val="47DC362C"/>
    <w:rsid w:val="47E250E6"/>
    <w:rsid w:val="47E66F7E"/>
    <w:rsid w:val="47E86474"/>
    <w:rsid w:val="48082673"/>
    <w:rsid w:val="482E20D9"/>
    <w:rsid w:val="486C49B0"/>
    <w:rsid w:val="487D4E0F"/>
    <w:rsid w:val="488F069E"/>
    <w:rsid w:val="489B7043"/>
    <w:rsid w:val="48B819A3"/>
    <w:rsid w:val="48BF71D5"/>
    <w:rsid w:val="48D34A2F"/>
    <w:rsid w:val="48F86243"/>
    <w:rsid w:val="48FA020D"/>
    <w:rsid w:val="491D5CAA"/>
    <w:rsid w:val="4948541D"/>
    <w:rsid w:val="49B26D3A"/>
    <w:rsid w:val="49E14F29"/>
    <w:rsid w:val="49FE5ADB"/>
    <w:rsid w:val="4A070E34"/>
    <w:rsid w:val="4A183041"/>
    <w:rsid w:val="4A2A68D0"/>
    <w:rsid w:val="4A8204BA"/>
    <w:rsid w:val="4A857FAB"/>
    <w:rsid w:val="4A8E6E5F"/>
    <w:rsid w:val="4AA246B9"/>
    <w:rsid w:val="4AA77F21"/>
    <w:rsid w:val="4AC72371"/>
    <w:rsid w:val="4ACC3E2B"/>
    <w:rsid w:val="4AE41175"/>
    <w:rsid w:val="4AEE5B50"/>
    <w:rsid w:val="4B223A4B"/>
    <w:rsid w:val="4B26353C"/>
    <w:rsid w:val="4B6B53F2"/>
    <w:rsid w:val="4B8244EA"/>
    <w:rsid w:val="4B897627"/>
    <w:rsid w:val="4B985ABC"/>
    <w:rsid w:val="4B991F60"/>
    <w:rsid w:val="4BBA0128"/>
    <w:rsid w:val="4BCE772F"/>
    <w:rsid w:val="4BDC3BFA"/>
    <w:rsid w:val="4BE45514"/>
    <w:rsid w:val="4BEA4569"/>
    <w:rsid w:val="4BFFC209"/>
    <w:rsid w:val="4C15710C"/>
    <w:rsid w:val="4C211691"/>
    <w:rsid w:val="4C336CAF"/>
    <w:rsid w:val="4C516396"/>
    <w:rsid w:val="4C5E6D05"/>
    <w:rsid w:val="4C7107E7"/>
    <w:rsid w:val="4C83051A"/>
    <w:rsid w:val="4C856040"/>
    <w:rsid w:val="4C8F6EBF"/>
    <w:rsid w:val="4C96024D"/>
    <w:rsid w:val="4C995F8F"/>
    <w:rsid w:val="4CA54934"/>
    <w:rsid w:val="4CB66B41"/>
    <w:rsid w:val="4CCB4162"/>
    <w:rsid w:val="4CE03BBE"/>
    <w:rsid w:val="4D007DBC"/>
    <w:rsid w:val="4D3D2DBF"/>
    <w:rsid w:val="4D3F6B37"/>
    <w:rsid w:val="4D7F33D7"/>
    <w:rsid w:val="4D7F6F33"/>
    <w:rsid w:val="4D8602C2"/>
    <w:rsid w:val="4DBF5582"/>
    <w:rsid w:val="4DC96400"/>
    <w:rsid w:val="4DCD5EF0"/>
    <w:rsid w:val="4DD252B5"/>
    <w:rsid w:val="4E015B9A"/>
    <w:rsid w:val="4E261AA5"/>
    <w:rsid w:val="4E281379"/>
    <w:rsid w:val="4E2875CB"/>
    <w:rsid w:val="4E676345"/>
    <w:rsid w:val="4E6B1D97"/>
    <w:rsid w:val="4E720846"/>
    <w:rsid w:val="4E7633EA"/>
    <w:rsid w:val="4E772300"/>
    <w:rsid w:val="4E791BD4"/>
    <w:rsid w:val="4E8C7B5A"/>
    <w:rsid w:val="4E9133C2"/>
    <w:rsid w:val="4E9407BC"/>
    <w:rsid w:val="4EA529C9"/>
    <w:rsid w:val="4EAF55F6"/>
    <w:rsid w:val="4EBD41B7"/>
    <w:rsid w:val="4EDB63EB"/>
    <w:rsid w:val="4EE47996"/>
    <w:rsid w:val="4EED611E"/>
    <w:rsid w:val="4EF70D4B"/>
    <w:rsid w:val="4F1D07B2"/>
    <w:rsid w:val="4F271630"/>
    <w:rsid w:val="4F416B96"/>
    <w:rsid w:val="4FA113E3"/>
    <w:rsid w:val="4FB37368"/>
    <w:rsid w:val="4FB530E0"/>
    <w:rsid w:val="4FE319FB"/>
    <w:rsid w:val="4FEB4D54"/>
    <w:rsid w:val="4FF05EC6"/>
    <w:rsid w:val="4FFE4A87"/>
    <w:rsid w:val="500656EA"/>
    <w:rsid w:val="501C315F"/>
    <w:rsid w:val="503E30D6"/>
    <w:rsid w:val="505731E7"/>
    <w:rsid w:val="50760AC1"/>
    <w:rsid w:val="50A15412"/>
    <w:rsid w:val="50A76ECD"/>
    <w:rsid w:val="50B138A7"/>
    <w:rsid w:val="51130DF6"/>
    <w:rsid w:val="511B6F73"/>
    <w:rsid w:val="51510BE7"/>
    <w:rsid w:val="51646B6C"/>
    <w:rsid w:val="517F5754"/>
    <w:rsid w:val="517F7502"/>
    <w:rsid w:val="519A433C"/>
    <w:rsid w:val="51BC69A8"/>
    <w:rsid w:val="51BD44CE"/>
    <w:rsid w:val="51CE66DB"/>
    <w:rsid w:val="51DC4954"/>
    <w:rsid w:val="525564B4"/>
    <w:rsid w:val="5257222D"/>
    <w:rsid w:val="52754DA9"/>
    <w:rsid w:val="528D5C4E"/>
    <w:rsid w:val="52B256B5"/>
    <w:rsid w:val="52C553E8"/>
    <w:rsid w:val="52E141EC"/>
    <w:rsid w:val="52FC4B82"/>
    <w:rsid w:val="52FE08FA"/>
    <w:rsid w:val="530103EA"/>
    <w:rsid w:val="531B5950"/>
    <w:rsid w:val="534529CD"/>
    <w:rsid w:val="534E7AD3"/>
    <w:rsid w:val="53671FD0"/>
    <w:rsid w:val="5371731E"/>
    <w:rsid w:val="5391176E"/>
    <w:rsid w:val="53C27B7A"/>
    <w:rsid w:val="53CE29C2"/>
    <w:rsid w:val="53DA3115"/>
    <w:rsid w:val="53F00B8B"/>
    <w:rsid w:val="53F341D7"/>
    <w:rsid w:val="54364990"/>
    <w:rsid w:val="548B08B3"/>
    <w:rsid w:val="548E5C72"/>
    <w:rsid w:val="549A0AF6"/>
    <w:rsid w:val="549C03CB"/>
    <w:rsid w:val="54AA0D3A"/>
    <w:rsid w:val="54AB5F5C"/>
    <w:rsid w:val="54B43966"/>
    <w:rsid w:val="54D67D81"/>
    <w:rsid w:val="54DC110F"/>
    <w:rsid w:val="54DC2EBD"/>
    <w:rsid w:val="55482300"/>
    <w:rsid w:val="554867E0"/>
    <w:rsid w:val="55603AEE"/>
    <w:rsid w:val="55733821"/>
    <w:rsid w:val="55AA4D69"/>
    <w:rsid w:val="55C67DF5"/>
    <w:rsid w:val="55D87FDF"/>
    <w:rsid w:val="55DB4F23"/>
    <w:rsid w:val="55FB55C5"/>
    <w:rsid w:val="56272D71"/>
    <w:rsid w:val="562B7C58"/>
    <w:rsid w:val="56737851"/>
    <w:rsid w:val="569A4DDE"/>
    <w:rsid w:val="569E48CE"/>
    <w:rsid w:val="56BF65F2"/>
    <w:rsid w:val="57174680"/>
    <w:rsid w:val="571C3A45"/>
    <w:rsid w:val="57437223"/>
    <w:rsid w:val="57832C8E"/>
    <w:rsid w:val="57877110"/>
    <w:rsid w:val="5790360C"/>
    <w:rsid w:val="57B23CF9"/>
    <w:rsid w:val="57B7551B"/>
    <w:rsid w:val="57CC546B"/>
    <w:rsid w:val="57D04F5B"/>
    <w:rsid w:val="57E427B4"/>
    <w:rsid w:val="57FC41E7"/>
    <w:rsid w:val="580C3AB9"/>
    <w:rsid w:val="581A61D6"/>
    <w:rsid w:val="582232DD"/>
    <w:rsid w:val="582E57DE"/>
    <w:rsid w:val="583D0117"/>
    <w:rsid w:val="584B2834"/>
    <w:rsid w:val="585F1E3B"/>
    <w:rsid w:val="587A0A23"/>
    <w:rsid w:val="58AB0DF7"/>
    <w:rsid w:val="58BD4DB3"/>
    <w:rsid w:val="58DF2304"/>
    <w:rsid w:val="590649AC"/>
    <w:rsid w:val="590C382F"/>
    <w:rsid w:val="591250FF"/>
    <w:rsid w:val="591945BB"/>
    <w:rsid w:val="59257894"/>
    <w:rsid w:val="596A4F3B"/>
    <w:rsid w:val="596D0588"/>
    <w:rsid w:val="59771406"/>
    <w:rsid w:val="59A10231"/>
    <w:rsid w:val="59CF2FF0"/>
    <w:rsid w:val="59D10B16"/>
    <w:rsid w:val="59DE3233"/>
    <w:rsid w:val="59DE4FE1"/>
    <w:rsid w:val="59E313BD"/>
    <w:rsid w:val="5A010C64"/>
    <w:rsid w:val="5A1629CD"/>
    <w:rsid w:val="5A2E41BB"/>
    <w:rsid w:val="5A2E7D17"/>
    <w:rsid w:val="5A355549"/>
    <w:rsid w:val="5A4237C2"/>
    <w:rsid w:val="5A584D94"/>
    <w:rsid w:val="5ABD72ED"/>
    <w:rsid w:val="5AC468CD"/>
    <w:rsid w:val="5AE44879"/>
    <w:rsid w:val="5AE605F2"/>
    <w:rsid w:val="5B0D5B7E"/>
    <w:rsid w:val="5B16597E"/>
    <w:rsid w:val="5B266C40"/>
    <w:rsid w:val="5B6B6D49"/>
    <w:rsid w:val="5B8F2A37"/>
    <w:rsid w:val="5BBE156E"/>
    <w:rsid w:val="5BC4220D"/>
    <w:rsid w:val="5BCF552A"/>
    <w:rsid w:val="5BD112A2"/>
    <w:rsid w:val="5BDE39BF"/>
    <w:rsid w:val="5BF07D9A"/>
    <w:rsid w:val="5BF1296B"/>
    <w:rsid w:val="5C07081F"/>
    <w:rsid w:val="5C2F7D76"/>
    <w:rsid w:val="5C381321"/>
    <w:rsid w:val="5C642116"/>
    <w:rsid w:val="5CB85FBE"/>
    <w:rsid w:val="5CBA7F88"/>
    <w:rsid w:val="5CC20BEA"/>
    <w:rsid w:val="5CD34BA6"/>
    <w:rsid w:val="5CDF354A"/>
    <w:rsid w:val="5CE46DB3"/>
    <w:rsid w:val="5D027239"/>
    <w:rsid w:val="5D0E2082"/>
    <w:rsid w:val="5D3E2967"/>
    <w:rsid w:val="5D535CE6"/>
    <w:rsid w:val="5D5932FD"/>
    <w:rsid w:val="5D6677C8"/>
    <w:rsid w:val="5D900CE9"/>
    <w:rsid w:val="5DA30A1C"/>
    <w:rsid w:val="5DE352BC"/>
    <w:rsid w:val="5E091947"/>
    <w:rsid w:val="5E0C4813"/>
    <w:rsid w:val="5E0D40E7"/>
    <w:rsid w:val="5E2B7EEF"/>
    <w:rsid w:val="5E435D5B"/>
    <w:rsid w:val="5E5E2B95"/>
    <w:rsid w:val="5E8C325E"/>
    <w:rsid w:val="5E9071F2"/>
    <w:rsid w:val="5E940365"/>
    <w:rsid w:val="5E9860A7"/>
    <w:rsid w:val="5EA20CD3"/>
    <w:rsid w:val="5EB01642"/>
    <w:rsid w:val="5ECB022A"/>
    <w:rsid w:val="5ED510A9"/>
    <w:rsid w:val="5F3A53B0"/>
    <w:rsid w:val="5F3C4C84"/>
    <w:rsid w:val="5F5A335C"/>
    <w:rsid w:val="5F692B8D"/>
    <w:rsid w:val="5F7F7267"/>
    <w:rsid w:val="5F8403D9"/>
    <w:rsid w:val="5F893C41"/>
    <w:rsid w:val="5FA34D03"/>
    <w:rsid w:val="5FC92290"/>
    <w:rsid w:val="5FDA3625"/>
    <w:rsid w:val="5FDC0215"/>
    <w:rsid w:val="6008725C"/>
    <w:rsid w:val="60285208"/>
    <w:rsid w:val="60327E35"/>
    <w:rsid w:val="6042276E"/>
    <w:rsid w:val="604A517F"/>
    <w:rsid w:val="604C7149"/>
    <w:rsid w:val="605204D7"/>
    <w:rsid w:val="60A96349"/>
    <w:rsid w:val="60D40EEC"/>
    <w:rsid w:val="60F375C4"/>
    <w:rsid w:val="61073070"/>
    <w:rsid w:val="611063C8"/>
    <w:rsid w:val="611F03B9"/>
    <w:rsid w:val="612B1454"/>
    <w:rsid w:val="612C2AD6"/>
    <w:rsid w:val="613D1187"/>
    <w:rsid w:val="61483DB4"/>
    <w:rsid w:val="614D13CA"/>
    <w:rsid w:val="61534507"/>
    <w:rsid w:val="615A5895"/>
    <w:rsid w:val="616B35FF"/>
    <w:rsid w:val="617526CF"/>
    <w:rsid w:val="61826B9A"/>
    <w:rsid w:val="619568CD"/>
    <w:rsid w:val="61A46B11"/>
    <w:rsid w:val="61B431F8"/>
    <w:rsid w:val="620D73CB"/>
    <w:rsid w:val="6220088D"/>
    <w:rsid w:val="6220263B"/>
    <w:rsid w:val="622A34BA"/>
    <w:rsid w:val="622B0FE0"/>
    <w:rsid w:val="62353C0D"/>
    <w:rsid w:val="623E0D13"/>
    <w:rsid w:val="624B51DE"/>
    <w:rsid w:val="624E5AC5"/>
    <w:rsid w:val="627110E9"/>
    <w:rsid w:val="62791D4B"/>
    <w:rsid w:val="6283706E"/>
    <w:rsid w:val="628A21AA"/>
    <w:rsid w:val="628E1C9B"/>
    <w:rsid w:val="6291178B"/>
    <w:rsid w:val="629848C7"/>
    <w:rsid w:val="62AF39BF"/>
    <w:rsid w:val="62BE3C02"/>
    <w:rsid w:val="62C7367F"/>
    <w:rsid w:val="62C84A81"/>
    <w:rsid w:val="62D43425"/>
    <w:rsid w:val="62DF24F6"/>
    <w:rsid w:val="62E93375"/>
    <w:rsid w:val="62FD472A"/>
    <w:rsid w:val="630C0E11"/>
    <w:rsid w:val="6311467A"/>
    <w:rsid w:val="631D301E"/>
    <w:rsid w:val="632048BD"/>
    <w:rsid w:val="632C14B3"/>
    <w:rsid w:val="63310878"/>
    <w:rsid w:val="6333639E"/>
    <w:rsid w:val="633B5253"/>
    <w:rsid w:val="636C18B0"/>
    <w:rsid w:val="637075F2"/>
    <w:rsid w:val="637D3ABD"/>
    <w:rsid w:val="6388493C"/>
    <w:rsid w:val="63901A42"/>
    <w:rsid w:val="63A16619"/>
    <w:rsid w:val="63B219B9"/>
    <w:rsid w:val="63C82F8A"/>
    <w:rsid w:val="63D538F9"/>
    <w:rsid w:val="63D80CF3"/>
    <w:rsid w:val="63DD4EBA"/>
    <w:rsid w:val="63E94CAF"/>
    <w:rsid w:val="640D3093"/>
    <w:rsid w:val="641F6922"/>
    <w:rsid w:val="64245D37"/>
    <w:rsid w:val="646F78AA"/>
    <w:rsid w:val="64744EC0"/>
    <w:rsid w:val="649015CE"/>
    <w:rsid w:val="64DE058B"/>
    <w:rsid w:val="65085608"/>
    <w:rsid w:val="65167D25"/>
    <w:rsid w:val="65273CE0"/>
    <w:rsid w:val="652F2B95"/>
    <w:rsid w:val="653603C7"/>
    <w:rsid w:val="65491EA9"/>
    <w:rsid w:val="65685EB4"/>
    <w:rsid w:val="65711400"/>
    <w:rsid w:val="65876E75"/>
    <w:rsid w:val="65A417D5"/>
    <w:rsid w:val="65AD68DC"/>
    <w:rsid w:val="65BB267B"/>
    <w:rsid w:val="65D26342"/>
    <w:rsid w:val="65F04A1A"/>
    <w:rsid w:val="66081D64"/>
    <w:rsid w:val="66091638"/>
    <w:rsid w:val="661F70AE"/>
    <w:rsid w:val="66216982"/>
    <w:rsid w:val="66342B59"/>
    <w:rsid w:val="6639016F"/>
    <w:rsid w:val="66540B05"/>
    <w:rsid w:val="667016B7"/>
    <w:rsid w:val="66846F11"/>
    <w:rsid w:val="66911D59"/>
    <w:rsid w:val="66AB26EF"/>
    <w:rsid w:val="66BB0B84"/>
    <w:rsid w:val="66C30D22"/>
    <w:rsid w:val="66C67529"/>
    <w:rsid w:val="66DB4D83"/>
    <w:rsid w:val="672F50CE"/>
    <w:rsid w:val="6764121C"/>
    <w:rsid w:val="676905E0"/>
    <w:rsid w:val="676A36E6"/>
    <w:rsid w:val="679118E5"/>
    <w:rsid w:val="67A45ABC"/>
    <w:rsid w:val="67B657F0"/>
    <w:rsid w:val="67FD6F7B"/>
    <w:rsid w:val="682B3AE8"/>
    <w:rsid w:val="6853303E"/>
    <w:rsid w:val="68534DEC"/>
    <w:rsid w:val="68570D81"/>
    <w:rsid w:val="686B65DA"/>
    <w:rsid w:val="6873723D"/>
    <w:rsid w:val="689E69AF"/>
    <w:rsid w:val="68A815DC"/>
    <w:rsid w:val="68AF64C7"/>
    <w:rsid w:val="68BC5EB7"/>
    <w:rsid w:val="68C31F72"/>
    <w:rsid w:val="690C1B6B"/>
    <w:rsid w:val="69272501"/>
    <w:rsid w:val="6949691B"/>
    <w:rsid w:val="69564B94"/>
    <w:rsid w:val="696A0640"/>
    <w:rsid w:val="696C43B8"/>
    <w:rsid w:val="698B1703"/>
    <w:rsid w:val="69AE677E"/>
    <w:rsid w:val="69BF6BDD"/>
    <w:rsid w:val="69D65CD5"/>
    <w:rsid w:val="69E2467A"/>
    <w:rsid w:val="69E95A08"/>
    <w:rsid w:val="6A10568B"/>
    <w:rsid w:val="6A164324"/>
    <w:rsid w:val="6A2152D6"/>
    <w:rsid w:val="6A3550F2"/>
    <w:rsid w:val="6A3D5D54"/>
    <w:rsid w:val="6A3D7B02"/>
    <w:rsid w:val="6A3F387A"/>
    <w:rsid w:val="6A5A06B4"/>
    <w:rsid w:val="6A5E63F6"/>
    <w:rsid w:val="6A721EA2"/>
    <w:rsid w:val="6A7A2B04"/>
    <w:rsid w:val="6A890F99"/>
    <w:rsid w:val="6A8B2F63"/>
    <w:rsid w:val="6AA54025"/>
    <w:rsid w:val="6AAB53B4"/>
    <w:rsid w:val="6AC56475"/>
    <w:rsid w:val="6B0D5727"/>
    <w:rsid w:val="6B1765A5"/>
    <w:rsid w:val="6B19231D"/>
    <w:rsid w:val="6B362ECF"/>
    <w:rsid w:val="6B460C38"/>
    <w:rsid w:val="6B735ED1"/>
    <w:rsid w:val="6B8C6F93"/>
    <w:rsid w:val="6B9F6CC6"/>
    <w:rsid w:val="6BAC5115"/>
    <w:rsid w:val="6BB107A8"/>
    <w:rsid w:val="6BBA3B00"/>
    <w:rsid w:val="6BBB5183"/>
    <w:rsid w:val="6BC524A5"/>
    <w:rsid w:val="6BD10E4A"/>
    <w:rsid w:val="6BEB1F0C"/>
    <w:rsid w:val="6C2747CD"/>
    <w:rsid w:val="6C783074"/>
    <w:rsid w:val="6C8E6D3B"/>
    <w:rsid w:val="6CA33997"/>
    <w:rsid w:val="6CA67E59"/>
    <w:rsid w:val="6CB22A29"/>
    <w:rsid w:val="6CB73B9C"/>
    <w:rsid w:val="6CCB5899"/>
    <w:rsid w:val="6CE95D1F"/>
    <w:rsid w:val="6CED3A62"/>
    <w:rsid w:val="6D15191A"/>
    <w:rsid w:val="6D2E358B"/>
    <w:rsid w:val="6D303400"/>
    <w:rsid w:val="6D4713C4"/>
    <w:rsid w:val="6D54588F"/>
    <w:rsid w:val="6D8141AA"/>
    <w:rsid w:val="6D82064E"/>
    <w:rsid w:val="6D837F22"/>
    <w:rsid w:val="6D886E76"/>
    <w:rsid w:val="6DB93944"/>
    <w:rsid w:val="6DC347C2"/>
    <w:rsid w:val="6DC9627D"/>
    <w:rsid w:val="6DF130DE"/>
    <w:rsid w:val="6E076DA5"/>
    <w:rsid w:val="6E1119D2"/>
    <w:rsid w:val="6E3336F6"/>
    <w:rsid w:val="6E494CC8"/>
    <w:rsid w:val="6E4D6E0E"/>
    <w:rsid w:val="6E617465"/>
    <w:rsid w:val="6EA75E92"/>
    <w:rsid w:val="6EAE7221"/>
    <w:rsid w:val="6EC72090"/>
    <w:rsid w:val="6ECC76A7"/>
    <w:rsid w:val="6ED07197"/>
    <w:rsid w:val="6ED547AD"/>
    <w:rsid w:val="6F0B01CF"/>
    <w:rsid w:val="6F2B6AC3"/>
    <w:rsid w:val="6F547DC8"/>
    <w:rsid w:val="6F5778B8"/>
    <w:rsid w:val="6F6B6EC0"/>
    <w:rsid w:val="6FE50A20"/>
    <w:rsid w:val="6FED3D79"/>
    <w:rsid w:val="70194B6E"/>
    <w:rsid w:val="702754DC"/>
    <w:rsid w:val="7075449A"/>
    <w:rsid w:val="7099764F"/>
    <w:rsid w:val="70A408DB"/>
    <w:rsid w:val="70AC4C34"/>
    <w:rsid w:val="70B0102E"/>
    <w:rsid w:val="70D65108"/>
    <w:rsid w:val="70F51137"/>
    <w:rsid w:val="71092E34"/>
    <w:rsid w:val="71193077"/>
    <w:rsid w:val="712D267F"/>
    <w:rsid w:val="71333A0D"/>
    <w:rsid w:val="719646C8"/>
    <w:rsid w:val="71AA3CCF"/>
    <w:rsid w:val="71B27028"/>
    <w:rsid w:val="72005CD8"/>
    <w:rsid w:val="72035AD5"/>
    <w:rsid w:val="72165809"/>
    <w:rsid w:val="722021E3"/>
    <w:rsid w:val="726245AA"/>
    <w:rsid w:val="72671BC0"/>
    <w:rsid w:val="7278201F"/>
    <w:rsid w:val="72987FCC"/>
    <w:rsid w:val="72A72905"/>
    <w:rsid w:val="72B03567"/>
    <w:rsid w:val="72C74D55"/>
    <w:rsid w:val="72D80D10"/>
    <w:rsid w:val="72F86CBC"/>
    <w:rsid w:val="731358A4"/>
    <w:rsid w:val="731955B0"/>
    <w:rsid w:val="733046A8"/>
    <w:rsid w:val="73351CBE"/>
    <w:rsid w:val="73571C35"/>
    <w:rsid w:val="735A1725"/>
    <w:rsid w:val="735A34D3"/>
    <w:rsid w:val="736305DA"/>
    <w:rsid w:val="73691968"/>
    <w:rsid w:val="73702CF6"/>
    <w:rsid w:val="73840550"/>
    <w:rsid w:val="73B9644B"/>
    <w:rsid w:val="73BF77DA"/>
    <w:rsid w:val="740578E3"/>
    <w:rsid w:val="74273CFD"/>
    <w:rsid w:val="74277859"/>
    <w:rsid w:val="743326A2"/>
    <w:rsid w:val="74381A66"/>
    <w:rsid w:val="747D56CB"/>
    <w:rsid w:val="74820F33"/>
    <w:rsid w:val="74982505"/>
    <w:rsid w:val="749E5641"/>
    <w:rsid w:val="74A87897"/>
    <w:rsid w:val="74BD1F6B"/>
    <w:rsid w:val="74D06143"/>
    <w:rsid w:val="74F71921"/>
    <w:rsid w:val="74FF7D24"/>
    <w:rsid w:val="7501454E"/>
    <w:rsid w:val="75157FF9"/>
    <w:rsid w:val="752D5343"/>
    <w:rsid w:val="755C3532"/>
    <w:rsid w:val="757C5983"/>
    <w:rsid w:val="75AD0232"/>
    <w:rsid w:val="75E4177A"/>
    <w:rsid w:val="75EA4FE2"/>
    <w:rsid w:val="75F776FF"/>
    <w:rsid w:val="76037E52"/>
    <w:rsid w:val="760616F0"/>
    <w:rsid w:val="760A7432"/>
    <w:rsid w:val="76391AC6"/>
    <w:rsid w:val="763C3364"/>
    <w:rsid w:val="76790114"/>
    <w:rsid w:val="768A2321"/>
    <w:rsid w:val="76946CFC"/>
    <w:rsid w:val="76A5382A"/>
    <w:rsid w:val="76C23869"/>
    <w:rsid w:val="76E71522"/>
    <w:rsid w:val="770E6AAE"/>
    <w:rsid w:val="77183DD1"/>
    <w:rsid w:val="771A18F7"/>
    <w:rsid w:val="772269FE"/>
    <w:rsid w:val="773504DF"/>
    <w:rsid w:val="773F4EBA"/>
    <w:rsid w:val="77487339"/>
    <w:rsid w:val="774B7D02"/>
    <w:rsid w:val="775E5C88"/>
    <w:rsid w:val="777059BB"/>
    <w:rsid w:val="777D814B"/>
    <w:rsid w:val="778154D2"/>
    <w:rsid w:val="7783749C"/>
    <w:rsid w:val="77876793"/>
    <w:rsid w:val="778E7BEF"/>
    <w:rsid w:val="77974CF6"/>
    <w:rsid w:val="779C67B0"/>
    <w:rsid w:val="77A967D7"/>
    <w:rsid w:val="77C11D73"/>
    <w:rsid w:val="77CD0717"/>
    <w:rsid w:val="77DF044B"/>
    <w:rsid w:val="77E51F05"/>
    <w:rsid w:val="77F13C27"/>
    <w:rsid w:val="78212811"/>
    <w:rsid w:val="78370287"/>
    <w:rsid w:val="784F55D0"/>
    <w:rsid w:val="7855070D"/>
    <w:rsid w:val="789456D9"/>
    <w:rsid w:val="7899684C"/>
    <w:rsid w:val="78C935D5"/>
    <w:rsid w:val="78DE6954"/>
    <w:rsid w:val="78F30652"/>
    <w:rsid w:val="790A599B"/>
    <w:rsid w:val="790C526F"/>
    <w:rsid w:val="792C76C0"/>
    <w:rsid w:val="793A050B"/>
    <w:rsid w:val="793D367B"/>
    <w:rsid w:val="794E7636"/>
    <w:rsid w:val="795A5FDB"/>
    <w:rsid w:val="799055DF"/>
    <w:rsid w:val="79BA4CCB"/>
    <w:rsid w:val="79C8563A"/>
    <w:rsid w:val="79C93160"/>
    <w:rsid w:val="79C97604"/>
    <w:rsid w:val="79E24222"/>
    <w:rsid w:val="7A101AC6"/>
    <w:rsid w:val="7A124B07"/>
    <w:rsid w:val="7AC540CB"/>
    <w:rsid w:val="7ACB4CB6"/>
    <w:rsid w:val="7AE56F93"/>
    <w:rsid w:val="7AEF4E49"/>
    <w:rsid w:val="7AF20495"/>
    <w:rsid w:val="7AF4245F"/>
    <w:rsid w:val="7AF67F85"/>
    <w:rsid w:val="7B2014A6"/>
    <w:rsid w:val="7B292109"/>
    <w:rsid w:val="7B3665D4"/>
    <w:rsid w:val="7B914152"/>
    <w:rsid w:val="7B971768"/>
    <w:rsid w:val="7BE00A6E"/>
    <w:rsid w:val="7BE02E34"/>
    <w:rsid w:val="7BF87D2D"/>
    <w:rsid w:val="7C643B5F"/>
    <w:rsid w:val="7C914409"/>
    <w:rsid w:val="7C966CA6"/>
    <w:rsid w:val="7CB225D2"/>
    <w:rsid w:val="7CB43C54"/>
    <w:rsid w:val="7CF752FF"/>
    <w:rsid w:val="7CF95B0B"/>
    <w:rsid w:val="7D060228"/>
    <w:rsid w:val="7D074568"/>
    <w:rsid w:val="7D094564"/>
    <w:rsid w:val="7D2A660C"/>
    <w:rsid w:val="7D2C7C8E"/>
    <w:rsid w:val="7D3134F6"/>
    <w:rsid w:val="7D43322A"/>
    <w:rsid w:val="7D4C20DE"/>
    <w:rsid w:val="7D6C452F"/>
    <w:rsid w:val="7D951CD7"/>
    <w:rsid w:val="7D9D6DDE"/>
    <w:rsid w:val="7DA77C5D"/>
    <w:rsid w:val="7DAA32A9"/>
    <w:rsid w:val="7DFB58B2"/>
    <w:rsid w:val="7DFF53A3"/>
    <w:rsid w:val="7E0B01EB"/>
    <w:rsid w:val="7E437985"/>
    <w:rsid w:val="7E527BC8"/>
    <w:rsid w:val="7E665422"/>
    <w:rsid w:val="7E7E1A49"/>
    <w:rsid w:val="7E7F0292"/>
    <w:rsid w:val="7E8A55B4"/>
    <w:rsid w:val="7E8F4979"/>
    <w:rsid w:val="7E9F0934"/>
    <w:rsid w:val="7EB20619"/>
    <w:rsid w:val="7ECF746B"/>
    <w:rsid w:val="7ED607F9"/>
    <w:rsid w:val="7EF90044"/>
    <w:rsid w:val="7EF96296"/>
    <w:rsid w:val="7F0D7F93"/>
    <w:rsid w:val="7F2C0419"/>
    <w:rsid w:val="7F475253"/>
    <w:rsid w:val="7F58120E"/>
    <w:rsid w:val="7F5D4A77"/>
    <w:rsid w:val="7F6000C3"/>
    <w:rsid w:val="7F6851CA"/>
    <w:rsid w:val="7F6A7194"/>
    <w:rsid w:val="7F736048"/>
    <w:rsid w:val="7F7731D8"/>
    <w:rsid w:val="7FAA7590"/>
    <w:rsid w:val="7FB977D3"/>
    <w:rsid w:val="7FC40652"/>
    <w:rsid w:val="7FD4460D"/>
    <w:rsid w:val="7FE44850"/>
    <w:rsid w:val="7FE72592"/>
    <w:rsid w:val="7FE900B8"/>
    <w:rsid w:val="7FE9455C"/>
    <w:rsid w:val="7FEB2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06B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C806B2"/>
    <w:pPr>
      <w:jc w:val="left"/>
    </w:pPr>
  </w:style>
  <w:style w:type="paragraph" w:styleId="a4">
    <w:name w:val="footer"/>
    <w:basedOn w:val="a"/>
    <w:qFormat/>
    <w:rsid w:val="00C806B2"/>
    <w:pPr>
      <w:tabs>
        <w:tab w:val="center" w:pos="4153"/>
        <w:tab w:val="right" w:pos="8306"/>
      </w:tabs>
      <w:snapToGrid w:val="0"/>
      <w:jc w:val="left"/>
    </w:pPr>
    <w:rPr>
      <w:sz w:val="18"/>
    </w:rPr>
  </w:style>
  <w:style w:type="paragraph" w:styleId="a5">
    <w:name w:val="header"/>
    <w:basedOn w:val="a"/>
    <w:link w:val="Char"/>
    <w:qFormat/>
    <w:rsid w:val="00C806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806B2"/>
    <w:pPr>
      <w:spacing w:beforeAutospacing="1" w:afterAutospacing="1"/>
      <w:jc w:val="left"/>
    </w:pPr>
    <w:rPr>
      <w:rFonts w:cs="Times New Roman"/>
      <w:kern w:val="0"/>
      <w:sz w:val="24"/>
    </w:rPr>
  </w:style>
  <w:style w:type="character" w:styleId="a7">
    <w:name w:val="Strong"/>
    <w:basedOn w:val="a0"/>
    <w:qFormat/>
    <w:rsid w:val="00C806B2"/>
    <w:rPr>
      <w:b/>
    </w:rPr>
  </w:style>
  <w:style w:type="paragraph" w:styleId="a8">
    <w:name w:val="List Paragraph"/>
    <w:basedOn w:val="a"/>
    <w:uiPriority w:val="99"/>
    <w:unhideWhenUsed/>
    <w:rsid w:val="00C806B2"/>
    <w:pPr>
      <w:ind w:firstLineChars="200" w:firstLine="420"/>
    </w:pPr>
  </w:style>
  <w:style w:type="paragraph" w:customStyle="1" w:styleId="null3">
    <w:name w:val="null3"/>
    <w:hidden/>
    <w:qFormat/>
    <w:rsid w:val="00C806B2"/>
    <w:rPr>
      <w:rFonts w:asciiTheme="minorHAnsi" w:eastAsiaTheme="minorEastAsia" w:hAnsiTheme="minorHAnsi" w:cstheme="minorBidi" w:hint="eastAsia"/>
    </w:rPr>
  </w:style>
  <w:style w:type="character" w:customStyle="1" w:styleId="Char">
    <w:name w:val="页眉 Char"/>
    <w:basedOn w:val="a0"/>
    <w:link w:val="a5"/>
    <w:rsid w:val="00C806B2"/>
    <w:rPr>
      <w:rFonts w:asciiTheme="minorHAnsi" w:eastAsiaTheme="minorEastAsia" w:hAnsiTheme="minorHAnsi" w:cstheme="minorBidi"/>
      <w:kern w:val="2"/>
      <w:sz w:val="18"/>
      <w:szCs w:val="24"/>
    </w:rPr>
  </w:style>
  <w:style w:type="character" w:styleId="a9">
    <w:name w:val="annotation reference"/>
    <w:basedOn w:val="a0"/>
    <w:rsid w:val="00C806B2"/>
    <w:rPr>
      <w:sz w:val="21"/>
      <w:szCs w:val="21"/>
    </w:rPr>
  </w:style>
  <w:style w:type="paragraph" w:styleId="aa">
    <w:name w:val="Balloon Text"/>
    <w:basedOn w:val="a"/>
    <w:link w:val="Char0"/>
    <w:rsid w:val="00C82EA5"/>
    <w:rPr>
      <w:sz w:val="18"/>
      <w:szCs w:val="18"/>
    </w:rPr>
  </w:style>
  <w:style w:type="character" w:customStyle="1" w:styleId="Char0">
    <w:name w:val="批注框文本 Char"/>
    <w:basedOn w:val="a0"/>
    <w:link w:val="aa"/>
    <w:rsid w:val="00C82EA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2232</Words>
  <Characters>292</Characters>
  <Application>Microsoft Office Word</Application>
  <DocSecurity>0</DocSecurity>
  <Lines>2</Lines>
  <Paragraphs>5</Paragraphs>
  <ScaleCrop>false</ScaleCrop>
  <Company>MS</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Asee</dc:creator>
  <cp:lastModifiedBy>Windows User</cp:lastModifiedBy>
  <cp:revision>4</cp:revision>
  <cp:lastPrinted>2025-05-14T01:33:00Z</cp:lastPrinted>
  <dcterms:created xsi:type="dcterms:W3CDTF">2025-05-14T01:33:00Z</dcterms:created>
  <dcterms:modified xsi:type="dcterms:W3CDTF">2025-05-14T09:37:00Z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83CDA5EB7193462590AF6C0570B5AD14_13</vt:lpwstr>
  </property>
  <property fmtid="{D5CDD505-2E9C-101B-9397-08002B2CF9AE}" pid="4" name="KSOTemplateDocerSaveRecord">
    <vt:lpwstr>eyJoZGlkIjoiZDBkYjg5Zjk4YzdlMWJiMTY3ZTVmMGFlODQzOWRiOTciLCJ1c2VySWQiOiIzODIxODI4NDcifQ==</vt:lpwstr>
  </property>
</Properties>
</file>