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left"/>
        <w:rPr>
          <w:rFonts w:ascii="仿宋" w:hAnsi="仿宋" w:eastAsia="仿宋" w:cs="仿宋"/>
          <w:sz w:val="32"/>
          <w:szCs w:val="32"/>
        </w:rPr>
      </w:pPr>
    </w:p>
    <w:p>
      <w:pPr>
        <w:jc w:val="center"/>
        <w:rPr>
          <w:rFonts w:ascii="仿宋" w:hAnsi="仿宋" w:eastAsia="仿宋" w:cs="仿宋"/>
          <w:b/>
          <w:bCs/>
          <w:sz w:val="32"/>
          <w:szCs w:val="32"/>
        </w:rPr>
      </w:pPr>
      <w:r>
        <w:rPr>
          <w:rFonts w:hint="eastAsia" w:ascii="仿宋" w:hAnsi="仿宋" w:eastAsia="仿宋" w:cs="仿宋"/>
          <w:b/>
          <w:bCs/>
          <w:sz w:val="32"/>
          <w:szCs w:val="32"/>
        </w:rPr>
        <w:t>福建省国资委智融项目报价单</w:t>
      </w:r>
    </w:p>
    <w:p>
      <w:pPr>
        <w:rPr>
          <w:rFonts w:ascii="仿宋" w:hAnsi="仿宋" w:eastAsia="仿宋" w:cs="仿宋"/>
          <w:sz w:val="28"/>
          <w:szCs w:val="28"/>
          <w:u w:val="single"/>
        </w:rPr>
      </w:pPr>
      <w:r>
        <w:rPr>
          <w:rFonts w:hint="eastAsia" w:ascii="仿宋" w:hAnsi="仿宋" w:eastAsia="仿宋" w:cs="仿宋"/>
          <w:sz w:val="28"/>
          <w:szCs w:val="28"/>
        </w:rPr>
        <w:t>报价单位（盖章）：报价日期：</w:t>
      </w:r>
      <w:r>
        <w:rPr>
          <w:rFonts w:hint="eastAsia" w:ascii="仿宋" w:hAnsi="仿宋" w:eastAsia="仿宋" w:cs="仿宋"/>
          <w:sz w:val="28"/>
          <w:szCs w:val="28"/>
          <w:u w:val="single"/>
        </w:rPr>
        <w:t xml:space="preserve">     年   月   日</w:t>
      </w:r>
    </w:p>
    <w:p>
      <w:pPr>
        <w:rPr>
          <w:rFonts w:ascii="仿宋" w:hAnsi="仿宋" w:eastAsia="仿宋" w:cs="仿宋"/>
          <w:sz w:val="28"/>
          <w:szCs w:val="28"/>
          <w:u w:val="single"/>
        </w:rPr>
      </w:pPr>
      <w:r>
        <w:rPr>
          <w:rFonts w:hint="eastAsia" w:ascii="仿宋" w:hAnsi="仿宋" w:eastAsia="仿宋" w:cs="仿宋"/>
          <w:sz w:val="28"/>
          <w:szCs w:val="28"/>
        </w:rPr>
        <w:t>报价单位联系人：         联系电话：</w:t>
      </w:r>
    </w:p>
    <w:tbl>
      <w:tblPr>
        <w:tblStyle w:val="6"/>
        <w:tblW w:w="84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55"/>
        <w:gridCol w:w="3571"/>
        <w:gridCol w:w="556"/>
        <w:gridCol w:w="556"/>
        <w:gridCol w:w="556"/>
        <w:gridCol w:w="1123"/>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755"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序号</w:t>
            </w:r>
          </w:p>
        </w:tc>
        <w:tc>
          <w:tcPr>
            <w:tcW w:w="3571"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项目内容</w:t>
            </w:r>
          </w:p>
        </w:tc>
        <w:tc>
          <w:tcPr>
            <w:tcW w:w="556"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偏离说明</w:t>
            </w:r>
          </w:p>
        </w:tc>
        <w:tc>
          <w:tcPr>
            <w:tcW w:w="556"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数量</w:t>
            </w:r>
          </w:p>
        </w:tc>
        <w:tc>
          <w:tcPr>
            <w:tcW w:w="556"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单位</w:t>
            </w:r>
          </w:p>
        </w:tc>
        <w:tc>
          <w:tcPr>
            <w:tcW w:w="1123"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报价金额（元）</w:t>
            </w:r>
          </w:p>
        </w:tc>
        <w:tc>
          <w:tcPr>
            <w:tcW w:w="1326" w:type="dxa"/>
            <w:shd w:val="clear" w:color="auto" w:fill="auto"/>
            <w:tcMar>
              <w:top w:w="0" w:type="dxa"/>
              <w:left w:w="70" w:type="dxa"/>
              <w:bottom w:w="0" w:type="dxa"/>
              <w:right w:w="70" w:type="dxa"/>
            </w:tcMar>
            <w:vAlign w:val="center"/>
          </w:tcPr>
          <w:p>
            <w:pPr>
              <w:jc w:val="center"/>
              <w:rPr>
                <w:rFonts w:ascii="仿宋" w:hAnsi="仿宋" w:eastAsia="仿宋" w:cs="仿宋"/>
                <w:b/>
                <w:bCs/>
                <w:sz w:val="24"/>
              </w:rPr>
            </w:pPr>
            <w:r>
              <w:rPr>
                <w:rFonts w:hint="eastAsia" w:ascii="仿宋" w:hAnsi="仿宋" w:eastAsia="仿宋" w:cs="仿宋"/>
                <w:b/>
                <w:bCs/>
                <w:sz w:val="24"/>
              </w:rPr>
              <w:t>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80" w:hRule="atLeast"/>
        </w:trPr>
        <w:tc>
          <w:tcPr>
            <w:tcW w:w="755" w:type="dxa"/>
            <w:shd w:val="clear" w:color="auto" w:fill="auto"/>
            <w:tcMar>
              <w:top w:w="0" w:type="dxa"/>
              <w:left w:w="70" w:type="dxa"/>
              <w:bottom w:w="0" w:type="dxa"/>
              <w:right w:w="70" w:type="dxa"/>
            </w:tcMar>
            <w:vAlign w:val="center"/>
          </w:tcPr>
          <w:p>
            <w:pPr>
              <w:pStyle w:val="3"/>
              <w:widowControl/>
              <w:spacing w:beforeAutospacing="0" w:afterAutospacing="0"/>
              <w:jc w:val="center"/>
              <w:rPr>
                <w:rFonts w:ascii="仿宋" w:hAnsi="仿宋" w:eastAsia="仿宋" w:cs="仿宋"/>
              </w:rPr>
            </w:pPr>
            <w:r>
              <w:rPr>
                <w:rStyle w:val="5"/>
                <w:rFonts w:hint="eastAsia" w:ascii="仿宋" w:hAnsi="仿宋" w:eastAsia="仿宋" w:cs="仿宋"/>
                <w:color w:val="333333"/>
              </w:rPr>
              <w:t>1</w:t>
            </w:r>
          </w:p>
        </w:tc>
        <w:tc>
          <w:tcPr>
            <w:tcW w:w="3571" w:type="dxa"/>
            <w:shd w:val="clear" w:color="auto" w:fill="auto"/>
            <w:tcMar>
              <w:top w:w="0" w:type="dxa"/>
              <w:left w:w="70" w:type="dxa"/>
              <w:bottom w:w="0" w:type="dxa"/>
              <w:right w:w="70" w:type="dxa"/>
            </w:tcMar>
            <w:vAlign w:val="center"/>
          </w:tcPr>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（一）提供3台符合我单位验收标准的设备</w:t>
            </w:r>
          </w:p>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在福建省国资委办公楼指定位置部署3面43寸（1012*601*45mm）超高清智融终端。</w:t>
            </w:r>
          </w:p>
        </w:tc>
        <w:tc>
          <w:tcPr>
            <w:tcW w:w="556" w:type="dxa"/>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556" w:type="dxa"/>
            <w:vMerge w:val="restart"/>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rPr>
            </w:pPr>
            <w:r>
              <w:rPr>
                <w:rFonts w:hint="eastAsia" w:ascii="仿宋" w:hAnsi="仿宋" w:eastAsia="仿宋" w:cs="仿宋"/>
                <w:color w:val="333333"/>
              </w:rPr>
              <w:t>1</w:t>
            </w:r>
          </w:p>
        </w:tc>
        <w:tc>
          <w:tcPr>
            <w:tcW w:w="556" w:type="dxa"/>
            <w:vMerge w:val="restart"/>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rPr>
            </w:pPr>
            <w:r>
              <w:rPr>
                <w:rFonts w:hint="eastAsia" w:ascii="仿宋" w:hAnsi="仿宋" w:eastAsia="仿宋" w:cs="仿宋"/>
                <w:color w:val="333333"/>
              </w:rPr>
              <w:t>项</w:t>
            </w:r>
          </w:p>
        </w:tc>
        <w:tc>
          <w:tcPr>
            <w:tcW w:w="1123" w:type="dxa"/>
            <w:vMerge w:val="restart"/>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c>
          <w:tcPr>
            <w:tcW w:w="1326" w:type="dxa"/>
            <w:vMerge w:val="restart"/>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rPr>
            </w:pPr>
            <w:r>
              <w:rPr>
                <w:rFonts w:hint="eastAsia" w:ascii="仿宋" w:hAnsi="仿宋" w:eastAsia="仿宋" w:cs="仿宋"/>
                <w:color w:val="0000FF"/>
              </w:rPr>
              <w:t>90000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80" w:hRule="atLeast"/>
        </w:trPr>
        <w:tc>
          <w:tcPr>
            <w:tcW w:w="755" w:type="dxa"/>
            <w:shd w:val="clear" w:color="auto" w:fill="auto"/>
            <w:tcMar>
              <w:top w:w="0" w:type="dxa"/>
              <w:left w:w="70" w:type="dxa"/>
              <w:bottom w:w="0" w:type="dxa"/>
              <w:right w:w="70" w:type="dxa"/>
            </w:tcMar>
            <w:vAlign w:val="center"/>
          </w:tcPr>
          <w:p>
            <w:pPr>
              <w:pStyle w:val="3"/>
              <w:widowControl/>
              <w:spacing w:beforeAutospacing="0" w:afterAutospacing="0"/>
              <w:jc w:val="center"/>
              <w:rPr>
                <w:rStyle w:val="5"/>
                <w:rFonts w:ascii="仿宋" w:hAnsi="仿宋" w:eastAsia="仿宋" w:cs="仿宋"/>
                <w:color w:val="333333"/>
              </w:rPr>
            </w:pPr>
            <w:r>
              <w:rPr>
                <w:rStyle w:val="5"/>
                <w:rFonts w:hint="eastAsia" w:ascii="仿宋" w:hAnsi="仿宋" w:eastAsia="仿宋" w:cs="仿宋"/>
                <w:color w:val="333333"/>
              </w:rPr>
              <w:t>2</w:t>
            </w:r>
          </w:p>
        </w:tc>
        <w:tc>
          <w:tcPr>
            <w:tcW w:w="3571" w:type="dxa"/>
            <w:shd w:val="clear" w:color="auto" w:fill="auto"/>
            <w:tcMar>
              <w:top w:w="0" w:type="dxa"/>
              <w:left w:w="70" w:type="dxa"/>
              <w:bottom w:w="0" w:type="dxa"/>
              <w:right w:w="70" w:type="dxa"/>
            </w:tcMar>
            <w:vAlign w:val="center"/>
          </w:tcPr>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（二）提供1支专业团队</w:t>
            </w:r>
          </w:p>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配备一支包括主编、宣传策划、内容运营、美术设计、内容审核、平台保障、设备维护、项目经理等至少8名工作人员的专业团队，深度理解党建、机关文化宣传工作，宣传内容三审三校，结合福建省国资委实际工作需要，提供宣传策划、内容制作、审核发布、专业运营等全面服务</w:t>
            </w:r>
          </w:p>
        </w:tc>
        <w:tc>
          <w:tcPr>
            <w:tcW w:w="556" w:type="dxa"/>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1123" w:type="dxa"/>
            <w:vMerge w:val="continue"/>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c>
          <w:tcPr>
            <w:tcW w:w="132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80" w:hRule="atLeast"/>
        </w:trPr>
        <w:tc>
          <w:tcPr>
            <w:tcW w:w="755" w:type="dxa"/>
            <w:shd w:val="clear" w:color="auto" w:fill="auto"/>
            <w:tcMar>
              <w:top w:w="0" w:type="dxa"/>
              <w:left w:w="70" w:type="dxa"/>
              <w:bottom w:w="0" w:type="dxa"/>
              <w:right w:w="70" w:type="dxa"/>
            </w:tcMar>
            <w:vAlign w:val="center"/>
          </w:tcPr>
          <w:p>
            <w:pPr>
              <w:pStyle w:val="3"/>
              <w:widowControl/>
              <w:spacing w:beforeAutospacing="0" w:afterAutospacing="0"/>
              <w:jc w:val="center"/>
              <w:rPr>
                <w:rStyle w:val="5"/>
                <w:rFonts w:ascii="仿宋" w:hAnsi="仿宋" w:eastAsia="仿宋" w:cs="仿宋"/>
                <w:color w:val="333333"/>
              </w:rPr>
            </w:pPr>
            <w:r>
              <w:rPr>
                <w:rStyle w:val="5"/>
                <w:rFonts w:hint="eastAsia" w:ascii="仿宋" w:hAnsi="仿宋" w:eastAsia="仿宋" w:cs="仿宋"/>
                <w:color w:val="333333"/>
              </w:rPr>
              <w:t>3</w:t>
            </w:r>
          </w:p>
        </w:tc>
        <w:tc>
          <w:tcPr>
            <w:tcW w:w="3571" w:type="dxa"/>
            <w:shd w:val="clear" w:color="auto" w:fill="auto"/>
            <w:tcMar>
              <w:top w:w="0" w:type="dxa"/>
              <w:left w:w="70" w:type="dxa"/>
              <w:bottom w:w="0" w:type="dxa"/>
              <w:right w:w="70" w:type="dxa"/>
            </w:tcMar>
            <w:vAlign w:val="center"/>
          </w:tcPr>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（三）全年提供100份省国资委专属内容</w:t>
            </w:r>
          </w:p>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全年提供100张《省国资委要闻》《八闽国资》等个性化主题海报的策划定制，负责海报配套的文案提炼、内容审核、发布和排播服务</w:t>
            </w:r>
          </w:p>
        </w:tc>
        <w:tc>
          <w:tcPr>
            <w:tcW w:w="556" w:type="dxa"/>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1123" w:type="dxa"/>
            <w:vMerge w:val="continue"/>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c>
          <w:tcPr>
            <w:tcW w:w="132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80" w:hRule="atLeast"/>
        </w:trPr>
        <w:tc>
          <w:tcPr>
            <w:tcW w:w="755" w:type="dxa"/>
            <w:shd w:val="clear" w:color="auto" w:fill="auto"/>
            <w:tcMar>
              <w:top w:w="0" w:type="dxa"/>
              <w:left w:w="70" w:type="dxa"/>
              <w:bottom w:w="0" w:type="dxa"/>
              <w:right w:w="70" w:type="dxa"/>
            </w:tcMar>
            <w:vAlign w:val="center"/>
          </w:tcPr>
          <w:p>
            <w:pPr>
              <w:pStyle w:val="3"/>
              <w:widowControl/>
              <w:spacing w:beforeAutospacing="0" w:afterAutospacing="0"/>
              <w:jc w:val="center"/>
              <w:rPr>
                <w:rStyle w:val="5"/>
                <w:rFonts w:ascii="仿宋" w:hAnsi="仿宋" w:eastAsia="仿宋" w:cs="仿宋"/>
                <w:color w:val="333333"/>
              </w:rPr>
            </w:pPr>
            <w:r>
              <w:rPr>
                <w:rStyle w:val="5"/>
                <w:rFonts w:hint="eastAsia" w:ascii="仿宋" w:hAnsi="仿宋" w:eastAsia="仿宋" w:cs="仿宋"/>
                <w:color w:val="333333"/>
              </w:rPr>
              <w:t>4</w:t>
            </w:r>
          </w:p>
        </w:tc>
        <w:tc>
          <w:tcPr>
            <w:tcW w:w="3571" w:type="dxa"/>
            <w:shd w:val="clear" w:color="auto" w:fill="auto"/>
            <w:tcMar>
              <w:top w:w="0" w:type="dxa"/>
              <w:left w:w="70" w:type="dxa"/>
              <w:bottom w:w="0" w:type="dxa"/>
              <w:right w:w="70" w:type="dxa"/>
            </w:tcMar>
            <w:vAlign w:val="center"/>
          </w:tcPr>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（四）全年提供500份以上符合我单位验收标准的公共内容，每周更新</w:t>
            </w:r>
          </w:p>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全年提供500张以上的《学习新思想》《省委重要动态》《行业资讯》《创先争优》《文化宣传》等板块内容，结合当下时政热点以及福建省国资委的宣传需求，每周更新</w:t>
            </w:r>
          </w:p>
        </w:tc>
        <w:tc>
          <w:tcPr>
            <w:tcW w:w="556" w:type="dxa"/>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1123" w:type="dxa"/>
            <w:vMerge w:val="continue"/>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c>
          <w:tcPr>
            <w:tcW w:w="132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80" w:hRule="atLeast"/>
        </w:trPr>
        <w:tc>
          <w:tcPr>
            <w:tcW w:w="755" w:type="dxa"/>
            <w:shd w:val="clear" w:color="auto" w:fill="auto"/>
            <w:tcMar>
              <w:top w:w="0" w:type="dxa"/>
              <w:left w:w="70" w:type="dxa"/>
              <w:bottom w:w="0" w:type="dxa"/>
              <w:right w:w="70" w:type="dxa"/>
            </w:tcMar>
            <w:vAlign w:val="center"/>
          </w:tcPr>
          <w:p>
            <w:pPr>
              <w:pStyle w:val="3"/>
              <w:widowControl/>
              <w:spacing w:beforeAutospacing="0" w:afterAutospacing="0"/>
              <w:jc w:val="center"/>
              <w:rPr>
                <w:rStyle w:val="5"/>
                <w:rFonts w:ascii="仿宋" w:hAnsi="仿宋" w:eastAsia="仿宋" w:cs="仿宋"/>
                <w:color w:val="333333"/>
              </w:rPr>
            </w:pPr>
            <w:r>
              <w:rPr>
                <w:rStyle w:val="5"/>
                <w:rFonts w:hint="eastAsia" w:ascii="仿宋" w:hAnsi="仿宋" w:eastAsia="仿宋" w:cs="仿宋"/>
                <w:color w:val="333333"/>
              </w:rPr>
              <w:t>5</w:t>
            </w:r>
          </w:p>
        </w:tc>
        <w:tc>
          <w:tcPr>
            <w:tcW w:w="3571" w:type="dxa"/>
            <w:shd w:val="clear" w:color="auto" w:fill="auto"/>
            <w:tcMar>
              <w:top w:w="0" w:type="dxa"/>
              <w:left w:w="70" w:type="dxa"/>
              <w:bottom w:w="0" w:type="dxa"/>
              <w:right w:w="70" w:type="dxa"/>
            </w:tcMar>
            <w:vAlign w:val="center"/>
          </w:tcPr>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（五）建立专属群，提供7x8小时响应</w:t>
            </w:r>
          </w:p>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建立专属服务群，至少包括1名运营经理、1名技术专员，提供7*8小时运营服务，及时响应、高效执行福建省国资委各项宣传需求及智融终端非人为损坏的检修等技术支持</w:t>
            </w:r>
          </w:p>
        </w:tc>
        <w:tc>
          <w:tcPr>
            <w:tcW w:w="556" w:type="dxa"/>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1123" w:type="dxa"/>
            <w:vMerge w:val="continue"/>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c>
          <w:tcPr>
            <w:tcW w:w="132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80" w:hRule="atLeast"/>
        </w:trPr>
        <w:tc>
          <w:tcPr>
            <w:tcW w:w="755" w:type="dxa"/>
            <w:shd w:val="clear" w:color="auto" w:fill="auto"/>
            <w:tcMar>
              <w:top w:w="0" w:type="dxa"/>
              <w:left w:w="70" w:type="dxa"/>
              <w:bottom w:w="0" w:type="dxa"/>
              <w:right w:w="70" w:type="dxa"/>
            </w:tcMar>
            <w:vAlign w:val="center"/>
          </w:tcPr>
          <w:p>
            <w:pPr>
              <w:pStyle w:val="3"/>
              <w:widowControl/>
              <w:spacing w:beforeAutospacing="0" w:afterAutospacing="0"/>
              <w:jc w:val="center"/>
              <w:rPr>
                <w:rStyle w:val="5"/>
                <w:rFonts w:ascii="仿宋" w:hAnsi="仿宋" w:eastAsia="仿宋" w:cs="仿宋"/>
                <w:color w:val="333333"/>
              </w:rPr>
            </w:pPr>
            <w:r>
              <w:rPr>
                <w:rStyle w:val="5"/>
                <w:rFonts w:hint="eastAsia" w:ascii="仿宋" w:hAnsi="仿宋" w:eastAsia="仿宋" w:cs="仿宋"/>
                <w:color w:val="333333"/>
              </w:rPr>
              <w:t>6</w:t>
            </w:r>
          </w:p>
        </w:tc>
        <w:tc>
          <w:tcPr>
            <w:tcW w:w="3571" w:type="dxa"/>
            <w:shd w:val="clear" w:color="auto" w:fill="auto"/>
            <w:tcMar>
              <w:top w:w="0" w:type="dxa"/>
              <w:left w:w="70" w:type="dxa"/>
              <w:bottom w:w="0" w:type="dxa"/>
              <w:right w:w="70" w:type="dxa"/>
            </w:tcMar>
            <w:vAlign w:val="center"/>
          </w:tcPr>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（六）建立专属资源库</w:t>
            </w:r>
          </w:p>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建立并常态化积累专属宣传资源库，做好宣传资料保存，方便随时调配宣传内容，梳理全年宣传亮点，形成宣传服务年报</w:t>
            </w:r>
          </w:p>
        </w:tc>
        <w:tc>
          <w:tcPr>
            <w:tcW w:w="556" w:type="dxa"/>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1123" w:type="dxa"/>
            <w:vMerge w:val="continue"/>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c>
          <w:tcPr>
            <w:tcW w:w="132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80" w:hRule="atLeast"/>
        </w:trPr>
        <w:tc>
          <w:tcPr>
            <w:tcW w:w="755" w:type="dxa"/>
            <w:shd w:val="clear" w:color="auto" w:fill="auto"/>
            <w:tcMar>
              <w:top w:w="0" w:type="dxa"/>
              <w:left w:w="70" w:type="dxa"/>
              <w:bottom w:w="0" w:type="dxa"/>
              <w:right w:w="70" w:type="dxa"/>
            </w:tcMar>
            <w:vAlign w:val="center"/>
          </w:tcPr>
          <w:p>
            <w:pPr>
              <w:pStyle w:val="3"/>
              <w:widowControl/>
              <w:spacing w:beforeAutospacing="0" w:afterAutospacing="0"/>
              <w:jc w:val="center"/>
              <w:rPr>
                <w:rStyle w:val="5"/>
                <w:rFonts w:ascii="仿宋" w:hAnsi="仿宋" w:eastAsia="仿宋" w:cs="仿宋"/>
                <w:color w:val="333333"/>
              </w:rPr>
            </w:pPr>
            <w:r>
              <w:rPr>
                <w:rStyle w:val="5"/>
                <w:rFonts w:hint="eastAsia" w:ascii="仿宋" w:hAnsi="仿宋" w:eastAsia="仿宋" w:cs="仿宋"/>
                <w:color w:val="333333"/>
              </w:rPr>
              <w:t>7</w:t>
            </w:r>
          </w:p>
        </w:tc>
        <w:tc>
          <w:tcPr>
            <w:tcW w:w="3571" w:type="dxa"/>
            <w:shd w:val="clear" w:color="auto" w:fill="auto"/>
            <w:tcMar>
              <w:top w:w="0" w:type="dxa"/>
              <w:left w:w="70" w:type="dxa"/>
              <w:bottom w:w="0" w:type="dxa"/>
              <w:right w:w="70" w:type="dxa"/>
            </w:tcMar>
            <w:vAlign w:val="center"/>
          </w:tcPr>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（七）负责非人为损坏的售后</w:t>
            </w:r>
          </w:p>
          <w:p>
            <w:pPr>
              <w:pStyle w:val="3"/>
              <w:widowControl/>
              <w:spacing w:beforeAutospacing="0" w:afterAutospacing="0" w:line="360" w:lineRule="exact"/>
              <w:jc w:val="both"/>
              <w:rPr>
                <w:rFonts w:ascii="仿宋" w:hAnsi="仿宋" w:eastAsia="仿宋" w:cs="仿宋"/>
              </w:rPr>
            </w:pPr>
            <w:r>
              <w:rPr>
                <w:rFonts w:hint="eastAsia" w:ascii="仿宋" w:hAnsi="仿宋" w:eastAsia="仿宋" w:cs="仿宋"/>
              </w:rPr>
              <w:t>负责智融宣传服务平台运维、智融终端非人为损坏的维修等售后服务，1小时内采用远程方式排除故障，如无法排除故障（非人为损坏），将在工作日24小时内提供备机服务</w:t>
            </w:r>
          </w:p>
        </w:tc>
        <w:tc>
          <w:tcPr>
            <w:tcW w:w="556" w:type="dxa"/>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55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c>
          <w:tcPr>
            <w:tcW w:w="1123" w:type="dxa"/>
            <w:vMerge w:val="continue"/>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c>
          <w:tcPr>
            <w:tcW w:w="1326" w:type="dxa"/>
            <w:vMerge w:val="continue"/>
            <w:shd w:val="clear" w:color="auto" w:fill="auto"/>
            <w:tcMar>
              <w:top w:w="0" w:type="dxa"/>
              <w:left w:w="70" w:type="dxa"/>
              <w:bottom w:w="0" w:type="dxa"/>
              <w:right w:w="70" w:type="dxa"/>
            </w:tcMar>
            <w:vAlign w:val="center"/>
          </w:tcPr>
          <w:p>
            <w:pPr>
              <w:pStyle w:val="3"/>
              <w:widowControl/>
              <w:spacing w:beforeAutospacing="0" w:afterAutospacing="0" w:line="330" w:lineRule="atLeast"/>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0" w:hRule="atLeast"/>
        </w:trPr>
        <w:tc>
          <w:tcPr>
            <w:tcW w:w="755" w:type="dxa"/>
            <w:tcBorders>
              <w:tl2br w:val="nil"/>
              <w:tr2bl w:val="nil"/>
            </w:tcBorders>
            <w:shd w:val="clear" w:color="auto" w:fill="auto"/>
            <w:tcMar>
              <w:top w:w="0" w:type="dxa"/>
              <w:left w:w="70" w:type="dxa"/>
              <w:bottom w:w="0" w:type="dxa"/>
              <w:right w:w="70" w:type="dxa"/>
            </w:tcMar>
          </w:tcPr>
          <w:p>
            <w:pPr>
              <w:pStyle w:val="3"/>
              <w:widowControl/>
              <w:spacing w:beforeAutospacing="0" w:afterAutospacing="0" w:line="210" w:lineRule="atLeast"/>
              <w:jc w:val="center"/>
              <w:rPr>
                <w:rFonts w:ascii="仿宋" w:hAnsi="仿宋" w:eastAsia="仿宋" w:cs="仿宋"/>
              </w:rPr>
            </w:pPr>
            <w:r>
              <w:rPr>
                <w:rStyle w:val="5"/>
                <w:rFonts w:hint="eastAsia" w:ascii="仿宋" w:hAnsi="仿宋" w:eastAsia="仿宋" w:cs="仿宋"/>
                <w:color w:val="333333"/>
              </w:rPr>
              <w:t>序号</w:t>
            </w:r>
          </w:p>
        </w:tc>
        <w:tc>
          <w:tcPr>
            <w:tcW w:w="6362" w:type="dxa"/>
            <w:gridSpan w:val="5"/>
            <w:tcBorders>
              <w:tl2br w:val="nil"/>
              <w:tr2bl w:val="nil"/>
            </w:tcBorders>
            <w:shd w:val="clear" w:color="auto" w:fill="auto"/>
            <w:tcMar>
              <w:top w:w="0" w:type="dxa"/>
              <w:left w:w="70" w:type="dxa"/>
              <w:bottom w:w="0" w:type="dxa"/>
              <w:right w:w="70" w:type="dxa"/>
            </w:tcMar>
          </w:tcPr>
          <w:p>
            <w:pPr>
              <w:pStyle w:val="3"/>
              <w:widowControl/>
              <w:spacing w:beforeAutospacing="0" w:afterAutospacing="0" w:line="210" w:lineRule="atLeast"/>
              <w:jc w:val="center"/>
              <w:rPr>
                <w:rFonts w:ascii="仿宋" w:hAnsi="仿宋" w:eastAsia="仿宋" w:cs="仿宋"/>
              </w:rPr>
            </w:pPr>
            <w:r>
              <w:rPr>
                <w:rStyle w:val="5"/>
                <w:rFonts w:hint="eastAsia" w:ascii="仿宋" w:hAnsi="仿宋" w:eastAsia="仿宋" w:cs="仿宋"/>
                <w:color w:val="333333"/>
              </w:rPr>
              <w:t>商务要求</w:t>
            </w:r>
          </w:p>
        </w:tc>
        <w:tc>
          <w:tcPr>
            <w:tcW w:w="1326" w:type="dxa"/>
            <w:tcBorders>
              <w:tl2br w:val="nil"/>
              <w:tr2bl w:val="nil"/>
            </w:tcBorders>
            <w:shd w:val="clear" w:color="auto" w:fill="auto"/>
            <w:tcMar>
              <w:top w:w="0" w:type="dxa"/>
              <w:left w:w="70" w:type="dxa"/>
              <w:bottom w:w="0" w:type="dxa"/>
              <w:right w:w="70" w:type="dxa"/>
            </w:tcMar>
          </w:tcPr>
          <w:p>
            <w:pPr>
              <w:pStyle w:val="3"/>
              <w:widowControl/>
              <w:spacing w:beforeAutospacing="0" w:afterAutospacing="0" w:line="210" w:lineRule="atLeast"/>
              <w:jc w:val="center"/>
              <w:rPr>
                <w:rFonts w:ascii="仿宋" w:hAnsi="仿宋" w:eastAsia="仿宋" w:cs="仿宋"/>
              </w:rPr>
            </w:pPr>
            <w:r>
              <w:rPr>
                <w:rStyle w:val="5"/>
                <w:rFonts w:hint="eastAsia" w:ascii="仿宋" w:hAnsi="仿宋" w:eastAsia="仿宋" w:cs="仿宋"/>
                <w:color w:val="333333"/>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755" w:type="dxa"/>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1</w:t>
            </w:r>
          </w:p>
        </w:tc>
        <w:tc>
          <w:tcPr>
            <w:tcW w:w="6362" w:type="dxa"/>
            <w:gridSpan w:val="5"/>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both"/>
              <w:rPr>
                <w:rFonts w:ascii="仿宋" w:hAnsi="仿宋" w:eastAsia="仿宋" w:cs="仿宋"/>
              </w:rPr>
            </w:pPr>
            <w:r>
              <w:rPr>
                <w:rStyle w:val="5"/>
                <w:rFonts w:hint="eastAsia" w:ascii="仿宋" w:hAnsi="仿宋" w:eastAsia="仿宋" w:cs="仿宋"/>
                <w:color w:val="333333"/>
              </w:rPr>
              <w:t>交付地点：</w:t>
            </w:r>
            <w:r>
              <w:rPr>
                <w:rStyle w:val="5"/>
                <w:rFonts w:hint="eastAsia" w:ascii="仿宋" w:hAnsi="仿宋" w:eastAsia="仿宋" w:cs="仿宋"/>
                <w:b w:val="0"/>
                <w:bCs/>
                <w:color w:val="333333"/>
              </w:rPr>
              <w:t>福建省福州市鼓楼区东大路73号1号楼</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755" w:type="dxa"/>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2</w:t>
            </w:r>
          </w:p>
        </w:tc>
        <w:tc>
          <w:tcPr>
            <w:tcW w:w="6362" w:type="dxa"/>
            <w:gridSpan w:val="5"/>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both"/>
              <w:rPr>
                <w:rFonts w:ascii="仿宋" w:hAnsi="仿宋" w:eastAsia="仿宋" w:cs="仿宋"/>
              </w:rPr>
            </w:pPr>
            <w:r>
              <w:rPr>
                <w:rStyle w:val="5"/>
                <w:rFonts w:hint="eastAsia" w:ascii="仿宋" w:hAnsi="仿宋" w:eastAsia="仿宋" w:cs="仿宋"/>
                <w:color w:val="333333"/>
              </w:rPr>
              <w:t>交付时间：</w:t>
            </w:r>
            <w:r>
              <w:rPr>
                <w:rFonts w:hint="eastAsia" w:ascii="仿宋" w:hAnsi="仿宋" w:eastAsia="仿宋" w:cs="仿宋"/>
              </w:rPr>
              <w:t>合同签订后(30)天内</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755" w:type="dxa"/>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3</w:t>
            </w:r>
          </w:p>
        </w:tc>
        <w:tc>
          <w:tcPr>
            <w:tcW w:w="6362" w:type="dxa"/>
            <w:gridSpan w:val="5"/>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both"/>
              <w:rPr>
                <w:rFonts w:ascii="仿宋" w:hAnsi="仿宋" w:eastAsia="仿宋" w:cs="仿宋"/>
              </w:rPr>
            </w:pPr>
            <w:r>
              <w:rPr>
                <w:rStyle w:val="5"/>
                <w:rFonts w:hint="eastAsia" w:ascii="仿宋" w:hAnsi="仿宋" w:eastAsia="仿宋" w:cs="仿宋"/>
                <w:color w:val="333333"/>
              </w:rPr>
              <w:t>交付条件：</w:t>
            </w:r>
            <w:r>
              <w:rPr>
                <w:rFonts w:hint="eastAsia" w:ascii="仿宋" w:hAnsi="仿宋" w:eastAsia="仿宋" w:cs="仿宋"/>
                <w:color w:val="333333"/>
              </w:rPr>
              <w:t>智融终端安装、调试并符合运行条件，智融项目服务正常</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755" w:type="dxa"/>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4</w:t>
            </w:r>
          </w:p>
        </w:tc>
        <w:tc>
          <w:tcPr>
            <w:tcW w:w="6362" w:type="dxa"/>
            <w:gridSpan w:val="5"/>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both"/>
              <w:rPr>
                <w:rFonts w:ascii="仿宋" w:hAnsi="仿宋" w:eastAsia="仿宋" w:cs="仿宋"/>
              </w:rPr>
            </w:pPr>
            <w:r>
              <w:rPr>
                <w:rFonts w:hint="eastAsia" w:ascii="仿宋" w:hAnsi="仿宋" w:eastAsia="仿宋" w:cs="仿宋"/>
                <w:color w:val="333333"/>
              </w:rPr>
              <w:t>是否收取履约保证金：</w:t>
            </w:r>
            <w:r>
              <w:rPr>
                <w:rStyle w:val="5"/>
                <w:rFonts w:hint="eastAsia" w:ascii="仿宋" w:hAnsi="仿宋" w:eastAsia="仿宋" w:cs="仿宋"/>
                <w:color w:val="333333"/>
              </w:rPr>
              <w:t>否</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755" w:type="dxa"/>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5</w:t>
            </w:r>
          </w:p>
        </w:tc>
        <w:tc>
          <w:tcPr>
            <w:tcW w:w="6362" w:type="dxa"/>
            <w:gridSpan w:val="5"/>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both"/>
              <w:rPr>
                <w:rFonts w:ascii="仿宋" w:hAnsi="仿宋" w:eastAsia="仿宋" w:cs="仿宋"/>
              </w:rPr>
            </w:pPr>
            <w:r>
              <w:rPr>
                <w:rFonts w:hint="eastAsia" w:ascii="仿宋" w:hAnsi="仿宋" w:eastAsia="仿宋" w:cs="仿宋"/>
                <w:color w:val="333333"/>
              </w:rPr>
              <w:t>是否邀请报价人参与验收：</w:t>
            </w:r>
            <w:r>
              <w:rPr>
                <w:rStyle w:val="5"/>
                <w:rFonts w:hint="eastAsia" w:ascii="仿宋" w:hAnsi="仿宋" w:eastAsia="仿宋" w:cs="仿宋"/>
                <w:color w:val="333333"/>
              </w:rPr>
              <w:t>否</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755" w:type="dxa"/>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6</w:t>
            </w:r>
          </w:p>
        </w:tc>
        <w:tc>
          <w:tcPr>
            <w:tcW w:w="6362" w:type="dxa"/>
            <w:gridSpan w:val="5"/>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both"/>
              <w:rPr>
                <w:rFonts w:ascii="仿宋" w:hAnsi="仿宋" w:eastAsia="仿宋" w:cs="仿宋"/>
              </w:rPr>
            </w:pPr>
            <w:r>
              <w:rPr>
                <w:rStyle w:val="5"/>
                <w:rFonts w:hint="eastAsia" w:ascii="仿宋" w:hAnsi="仿宋" w:eastAsia="仿宋" w:cs="仿宋"/>
                <w:color w:val="333333"/>
              </w:rPr>
              <w:t>验收要求：</w:t>
            </w:r>
            <w:r>
              <w:rPr>
                <w:rFonts w:hint="eastAsia" w:ascii="仿宋" w:hAnsi="仿宋" w:eastAsia="仿宋" w:cs="仿宋"/>
                <w:color w:val="333333"/>
              </w:rPr>
              <w:t>智融终端运行正常，智融项目开始服务后，中标人提出验收申请，采购人按要求进行验收</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755" w:type="dxa"/>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center"/>
              <w:rPr>
                <w:rFonts w:ascii="仿宋" w:hAnsi="仿宋" w:eastAsia="仿宋" w:cs="仿宋"/>
              </w:rPr>
            </w:pPr>
            <w:r>
              <w:rPr>
                <w:rFonts w:hint="eastAsia" w:ascii="仿宋" w:hAnsi="仿宋" w:eastAsia="仿宋" w:cs="仿宋"/>
                <w:color w:val="333333"/>
              </w:rPr>
              <w:t>7</w:t>
            </w:r>
          </w:p>
        </w:tc>
        <w:tc>
          <w:tcPr>
            <w:tcW w:w="6362" w:type="dxa"/>
            <w:gridSpan w:val="5"/>
            <w:tcBorders>
              <w:tl2br w:val="nil"/>
              <w:tr2bl w:val="nil"/>
            </w:tcBorders>
            <w:shd w:val="clear" w:color="auto" w:fill="auto"/>
            <w:tcMar>
              <w:top w:w="0" w:type="dxa"/>
              <w:left w:w="70" w:type="dxa"/>
              <w:bottom w:w="0" w:type="dxa"/>
              <w:right w:w="70" w:type="dxa"/>
            </w:tcMar>
            <w:vAlign w:val="center"/>
          </w:tcPr>
          <w:p>
            <w:pPr>
              <w:pStyle w:val="3"/>
              <w:widowControl/>
              <w:spacing w:beforeAutospacing="0" w:afterAutospacing="0" w:line="210" w:lineRule="atLeast"/>
              <w:jc w:val="both"/>
              <w:rPr>
                <w:rFonts w:ascii="仿宋" w:hAnsi="仿宋" w:eastAsia="仿宋" w:cs="仿宋"/>
                <w:color w:val="333333"/>
              </w:rPr>
            </w:pPr>
            <w:r>
              <w:rPr>
                <w:rStyle w:val="5"/>
                <w:rFonts w:hint="eastAsia" w:ascii="仿宋" w:hAnsi="仿宋" w:eastAsia="仿宋" w:cs="仿宋"/>
                <w:color w:val="333333"/>
              </w:rPr>
              <w:t>付款方式：</w:t>
            </w:r>
          </w:p>
          <w:p>
            <w:pPr>
              <w:pStyle w:val="3"/>
              <w:widowControl/>
              <w:spacing w:beforeAutospacing="0" w:afterAutospacing="0" w:line="210" w:lineRule="atLeast"/>
              <w:jc w:val="both"/>
              <w:rPr>
                <w:rFonts w:ascii="仿宋" w:hAnsi="仿宋" w:eastAsia="仿宋" w:cs="仿宋"/>
                <w:color w:val="333333"/>
              </w:rPr>
            </w:pPr>
            <w:r>
              <w:rPr>
                <w:rFonts w:hint="eastAsia" w:ascii="仿宋" w:hAnsi="仿宋" w:eastAsia="仿宋" w:cs="仿宋"/>
                <w:color w:val="333333"/>
              </w:rPr>
              <w:t>合同签订后，由中标人在收到经采购人加盖公章的验收确认单之日起5个工作日内开具第一年度服务费金额的增值税普通发票（税率6%）并送达采购人，采购人在收到后15个工作日内确认并以转账方式一次性支付第一年度服务费。</w:t>
            </w:r>
          </w:p>
          <w:p>
            <w:pPr>
              <w:pStyle w:val="3"/>
              <w:widowControl/>
              <w:spacing w:beforeAutospacing="0" w:afterAutospacing="0" w:line="210" w:lineRule="atLeast"/>
              <w:jc w:val="both"/>
              <w:rPr>
                <w:rFonts w:ascii="仿宋" w:hAnsi="仿宋" w:eastAsia="仿宋" w:cs="仿宋"/>
                <w:color w:val="333333"/>
              </w:rPr>
            </w:pPr>
            <w:r>
              <w:rPr>
                <w:rFonts w:hint="eastAsia" w:ascii="仿宋" w:hAnsi="仿宋" w:eastAsia="仿宋" w:cs="仿宋"/>
                <w:b/>
                <w:bCs/>
                <w:color w:val="000000" w:themeColor="text1"/>
                <w14:textFill>
                  <w14:solidFill>
                    <w14:schemeClr w14:val="tx1"/>
                  </w14:solidFill>
                </w14:textFill>
              </w:rPr>
              <w:t>注：</w:t>
            </w:r>
            <w:r>
              <w:rPr>
                <w:rFonts w:hint="eastAsia" w:ascii="仿宋" w:hAnsi="仿宋" w:eastAsia="仿宋" w:cs="仿宋"/>
                <w:color w:val="000000" w:themeColor="text1"/>
                <w14:textFill>
                  <w14:solidFill>
                    <w14:schemeClr w14:val="tx1"/>
                  </w14:solidFill>
                </w14:textFill>
              </w:rPr>
              <w:t>采购人向中标人支付每笔款项时，中标人均应向采购人提供等额税务正式发票。</w:t>
            </w:r>
          </w:p>
        </w:tc>
        <w:tc>
          <w:tcPr>
            <w:tcW w:w="1326" w:type="dxa"/>
            <w:tcBorders>
              <w:tl2br w:val="nil"/>
              <w:tr2bl w:val="nil"/>
            </w:tcBorders>
            <w:shd w:val="clear" w:color="auto" w:fill="auto"/>
            <w:tcMar>
              <w:top w:w="0" w:type="dxa"/>
              <w:left w:w="70" w:type="dxa"/>
              <w:bottom w:w="0" w:type="dxa"/>
              <w:right w:w="70" w:type="dxa"/>
            </w:tcMar>
            <w:vAlign w:val="center"/>
          </w:tcPr>
          <w:p>
            <w:pPr>
              <w:widowControl/>
              <w:jc w:val="left"/>
              <w:rPr>
                <w:rFonts w:ascii="仿宋" w:hAnsi="仿宋" w:eastAsia="仿宋" w:cs="仿宋"/>
                <w:color w:val="333333"/>
                <w:sz w:val="24"/>
              </w:rPr>
            </w:pPr>
          </w:p>
        </w:tc>
      </w:tr>
    </w:tbl>
    <w:p>
      <w:pPr>
        <w:rPr>
          <w:rFonts w:ascii="仿宋" w:hAnsi="仿宋" w:eastAsia="仿宋" w:cs="仿宋"/>
          <w:sz w:val="28"/>
          <w:szCs w:val="28"/>
        </w:rPr>
      </w:pPr>
    </w:p>
    <w:p>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path/>
              <v:fill on="f" focussize="0,0"/>
              <v:stroke on="f" weight="0.5pt" joinstyle="miter"/>
              <v:imagedata o:title=""/>
              <o:lock v:ext="edit"/>
              <v:textbox inset="0mm,0mm,0mm,0mm" style="mso-fit-shape-to-text:t;">
                <w:txbxContent>
                  <w:p>
                    <w:pPr>
                      <w:pStyle w:val="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E436AA"/>
    <w:rsid w:val="29E436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gzw</Company>
  <Pages>1</Pages>
  <Words>0</Words>
  <Characters>0</Characters>
  <Lines>0</Lines>
  <Paragraphs>0</Paragraphs>
  <TotalTime>0</TotalTime>
  <ScaleCrop>false</ScaleCrop>
  <LinksUpToDate>false</LinksUpToDate>
  <CharactersWithSpaces>0</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2024-11-29T09:24:00Z</dcterms:created>
  <dc:creator>Administrator</dc:creator>
  <cp:lastModifiedBy>Administrator</cp:lastModifiedBy>
  <dcterms:modified xsi:type="dcterms:W3CDTF">2024-11-29T09:24:29Z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ies>
</file>