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bCs/>
          <w:sz w:val="32"/>
          <w:szCs w:val="32"/>
        </w:rPr>
      </w:pPr>
      <w:bookmarkStart w:id="0" w:name="_GoBack"/>
      <w:r>
        <w:rPr>
          <w:rFonts w:hint="eastAsia" w:ascii="仿宋" w:hAnsi="仿宋" w:eastAsia="仿宋" w:cs="仿宋"/>
          <w:b/>
          <w:bCs/>
          <w:sz w:val="32"/>
          <w:szCs w:val="32"/>
        </w:rPr>
        <w:t>福建省国资产权管理信息系统建设报价单</w:t>
      </w:r>
    </w:p>
    <w:bookmarkEnd w:id="0"/>
    <w:p>
      <w:pPr>
        <w:rPr>
          <w:rFonts w:ascii="仿宋" w:hAnsi="仿宋" w:eastAsia="仿宋" w:cs="仿宋"/>
          <w:sz w:val="28"/>
          <w:szCs w:val="28"/>
          <w:u w:val="single"/>
        </w:rPr>
      </w:pPr>
      <w:r>
        <w:rPr>
          <w:rFonts w:hint="eastAsia" w:ascii="仿宋" w:hAnsi="仿宋" w:eastAsia="仿宋" w:cs="仿宋"/>
          <w:sz w:val="28"/>
          <w:szCs w:val="28"/>
        </w:rPr>
        <w:t>报价单位（盖章）：报价日期：</w:t>
      </w:r>
      <w:r>
        <w:rPr>
          <w:rFonts w:hint="eastAsia" w:ascii="仿宋" w:hAnsi="仿宋" w:eastAsia="仿宋" w:cs="仿宋"/>
          <w:sz w:val="28"/>
          <w:szCs w:val="28"/>
          <w:u w:val="single"/>
        </w:rPr>
        <w:t xml:space="preserve">     年   月   日</w:t>
      </w:r>
    </w:p>
    <w:p>
      <w:pPr>
        <w:rPr>
          <w:rFonts w:ascii="仿宋" w:hAnsi="仿宋" w:eastAsia="仿宋" w:cs="仿宋"/>
          <w:sz w:val="28"/>
          <w:szCs w:val="28"/>
          <w:u w:val="single"/>
        </w:rPr>
      </w:pPr>
      <w:r>
        <w:rPr>
          <w:rFonts w:hint="eastAsia" w:ascii="仿宋" w:hAnsi="仿宋" w:eastAsia="仿宋" w:cs="仿宋"/>
          <w:sz w:val="28"/>
          <w:szCs w:val="28"/>
        </w:rPr>
        <w:t>报价单位联系人：联系电话：</w:t>
      </w:r>
    </w:p>
    <w:tbl>
      <w:tblPr>
        <w:tblStyle w:val="7"/>
        <w:tblW w:w="8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06"/>
        <w:gridCol w:w="3522"/>
        <w:gridCol w:w="556"/>
        <w:gridCol w:w="556"/>
        <w:gridCol w:w="556"/>
        <w:gridCol w:w="1121"/>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序号</w:t>
            </w:r>
          </w:p>
        </w:tc>
        <w:tc>
          <w:tcPr>
            <w:tcW w:w="3522"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服务内容</w:t>
            </w:r>
          </w:p>
        </w:tc>
        <w:tc>
          <w:tcPr>
            <w:tcW w:w="55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偏离说明</w:t>
            </w:r>
          </w:p>
        </w:tc>
        <w:tc>
          <w:tcPr>
            <w:tcW w:w="55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数量</w:t>
            </w:r>
          </w:p>
        </w:tc>
        <w:tc>
          <w:tcPr>
            <w:tcW w:w="55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单位</w:t>
            </w:r>
          </w:p>
        </w:tc>
        <w:tc>
          <w:tcPr>
            <w:tcW w:w="1121"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报价金额（元）</w:t>
            </w:r>
          </w:p>
        </w:tc>
        <w:tc>
          <w:tcPr>
            <w:tcW w:w="132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806" w:type="dxa"/>
            <w:shd w:val="clear" w:color="auto" w:fill="auto"/>
            <w:tcMar>
              <w:top w:w="0" w:type="dxa"/>
              <w:left w:w="70" w:type="dxa"/>
              <w:bottom w:w="0" w:type="dxa"/>
              <w:right w:w="70" w:type="dxa"/>
            </w:tcMar>
            <w:vAlign w:val="center"/>
          </w:tcPr>
          <w:p>
            <w:pPr>
              <w:pStyle w:val="4"/>
              <w:widowControl/>
              <w:spacing w:beforeAutospacing="0" w:afterAutospacing="0"/>
              <w:jc w:val="center"/>
              <w:rPr>
                <w:rFonts w:ascii="仿宋" w:hAnsi="仿宋" w:eastAsia="仿宋" w:cs="仿宋"/>
              </w:rPr>
            </w:pPr>
            <w:r>
              <w:rPr>
                <w:rStyle w:val="6"/>
                <w:rFonts w:hint="eastAsia" w:ascii="仿宋" w:hAnsi="仿宋" w:eastAsia="仿宋" w:cs="仿宋"/>
                <w:color w:val="333333"/>
              </w:rPr>
              <w:t>1</w:t>
            </w:r>
          </w:p>
        </w:tc>
        <w:tc>
          <w:tcPr>
            <w:tcW w:w="3522" w:type="dxa"/>
            <w:shd w:val="clear" w:color="auto" w:fill="auto"/>
            <w:tcMar>
              <w:top w:w="0" w:type="dxa"/>
              <w:left w:w="70" w:type="dxa"/>
              <w:bottom w:w="0" w:type="dxa"/>
              <w:right w:w="70" w:type="dxa"/>
            </w:tcMar>
            <w:vAlign w:val="center"/>
          </w:tcPr>
          <w:p>
            <w:pPr>
              <w:pStyle w:val="4"/>
              <w:widowControl/>
              <w:spacing w:beforeAutospacing="0" w:afterAutospacing="0"/>
              <w:jc w:val="both"/>
              <w:rPr>
                <w:rFonts w:ascii="仿宋" w:hAnsi="仿宋" w:eastAsia="仿宋" w:cs="仿宋"/>
              </w:rPr>
            </w:pPr>
            <w:r>
              <w:rPr>
                <w:rFonts w:hint="eastAsia" w:ascii="仿宋" w:hAnsi="仿宋" w:eastAsia="仿宋" w:cs="仿宋"/>
              </w:rPr>
              <w:t>（一）完成与国务院国资委产权系统对接</w:t>
            </w:r>
          </w:p>
          <w:p>
            <w:pPr>
              <w:pStyle w:val="4"/>
              <w:widowControl/>
              <w:spacing w:beforeAutospacing="0" w:afterAutospacing="0"/>
              <w:jc w:val="both"/>
              <w:rPr>
                <w:rFonts w:ascii="仿宋" w:hAnsi="仿宋" w:eastAsia="仿宋" w:cs="仿宋"/>
              </w:rPr>
            </w:pPr>
            <w:r>
              <w:rPr>
                <w:rFonts w:hint="eastAsia" w:ascii="仿宋" w:hAnsi="仿宋" w:eastAsia="仿宋" w:cs="仿宋"/>
              </w:rPr>
              <w:t>省国资产权管理信息系统部署在福建省政务外网信创区，国务院国资委福建省国资产权管理信息系统入口在互联网，系统通过政务外网信创区、互联网区等完成与国务院国资委福建省国资产权管理信息系统对接，最终建成每日自动上传全省产权登记数据。</w:t>
            </w:r>
          </w:p>
        </w:tc>
        <w:tc>
          <w:tcPr>
            <w:tcW w:w="556" w:type="dxa"/>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556" w:type="dxa"/>
            <w:vMerge w:val="restart"/>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rPr>
            </w:pPr>
            <w:r>
              <w:rPr>
                <w:rFonts w:hint="eastAsia" w:ascii="仿宋" w:hAnsi="仿宋" w:eastAsia="仿宋" w:cs="仿宋"/>
                <w:color w:val="333333"/>
              </w:rPr>
              <w:t>1</w:t>
            </w:r>
          </w:p>
        </w:tc>
        <w:tc>
          <w:tcPr>
            <w:tcW w:w="556" w:type="dxa"/>
            <w:vMerge w:val="restart"/>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rPr>
            </w:pPr>
            <w:r>
              <w:rPr>
                <w:rFonts w:hint="eastAsia" w:ascii="仿宋" w:hAnsi="仿宋" w:eastAsia="仿宋" w:cs="仿宋"/>
                <w:color w:val="333333"/>
              </w:rPr>
              <w:t>项</w:t>
            </w:r>
          </w:p>
        </w:tc>
        <w:tc>
          <w:tcPr>
            <w:tcW w:w="1121" w:type="dxa"/>
            <w:vMerge w:val="restart"/>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restart"/>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rPr>
            </w:pPr>
            <w:r>
              <w:rPr>
                <w:rFonts w:hint="eastAsia" w:ascii="仿宋" w:hAnsi="仿宋" w:eastAsia="仿宋" w:cs="仿宋"/>
              </w:rPr>
              <w:t>80000.00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806" w:type="dxa"/>
            <w:shd w:val="clear" w:color="auto" w:fill="auto"/>
            <w:tcMar>
              <w:top w:w="0" w:type="dxa"/>
              <w:left w:w="70" w:type="dxa"/>
              <w:bottom w:w="0" w:type="dxa"/>
              <w:right w:w="70" w:type="dxa"/>
            </w:tcMar>
            <w:vAlign w:val="center"/>
          </w:tcPr>
          <w:p>
            <w:pPr>
              <w:pStyle w:val="4"/>
              <w:widowControl/>
              <w:spacing w:beforeAutospacing="0" w:afterAutospacing="0"/>
              <w:jc w:val="center"/>
              <w:rPr>
                <w:rStyle w:val="6"/>
                <w:rFonts w:ascii="仿宋" w:hAnsi="仿宋" w:eastAsia="仿宋" w:cs="仿宋"/>
                <w:color w:val="333333"/>
              </w:rPr>
            </w:pPr>
            <w:r>
              <w:rPr>
                <w:rStyle w:val="6"/>
                <w:rFonts w:hint="eastAsia" w:ascii="仿宋" w:hAnsi="仿宋" w:eastAsia="仿宋" w:cs="仿宋"/>
                <w:color w:val="333333"/>
              </w:rPr>
              <w:t>2</w:t>
            </w:r>
          </w:p>
        </w:tc>
        <w:tc>
          <w:tcPr>
            <w:tcW w:w="3522" w:type="dxa"/>
            <w:shd w:val="clear" w:color="auto" w:fill="auto"/>
            <w:tcMar>
              <w:top w:w="0" w:type="dxa"/>
              <w:left w:w="70" w:type="dxa"/>
              <w:bottom w:w="0" w:type="dxa"/>
              <w:right w:w="70" w:type="dxa"/>
            </w:tcMar>
            <w:vAlign w:val="center"/>
          </w:tcPr>
          <w:p>
            <w:pPr>
              <w:pStyle w:val="4"/>
              <w:widowControl/>
              <w:spacing w:beforeAutospacing="0" w:afterAutospacing="0"/>
              <w:jc w:val="both"/>
              <w:rPr>
                <w:rFonts w:ascii="仿宋" w:hAnsi="仿宋" w:eastAsia="仿宋" w:cs="仿宋"/>
              </w:rPr>
            </w:pPr>
            <w:r>
              <w:rPr>
                <w:rFonts w:hint="eastAsia" w:ascii="仿宋" w:hAnsi="仿宋" w:eastAsia="仿宋" w:cs="仿宋"/>
              </w:rPr>
              <w:t>（二）改造完善福建省国资产权管理信息系统</w:t>
            </w:r>
          </w:p>
          <w:p>
            <w:pPr>
              <w:pStyle w:val="4"/>
              <w:widowControl/>
              <w:spacing w:beforeAutospacing="0" w:afterAutospacing="0"/>
              <w:jc w:val="both"/>
              <w:rPr>
                <w:rFonts w:ascii="仿宋" w:hAnsi="仿宋" w:eastAsia="仿宋" w:cs="仿宋"/>
              </w:rPr>
            </w:pPr>
            <w:r>
              <w:rPr>
                <w:rFonts w:hint="eastAsia" w:ascii="仿宋" w:hAnsi="仿宋" w:eastAsia="仿宋" w:cs="仿宋"/>
              </w:rPr>
              <w:t>根据国务院国资委《地方国资委产权登记企业基本信息数据收集标准V1.0》、《地方国资委产权登记企业基本信息数据收集标准-技术实现补充说明》要求，福建省国资产权管理信息系统需扩充部分业务指标、调整基础数据，并对填报、维护、查询展示、统计报表等模块做出相应调整。</w:t>
            </w:r>
          </w:p>
          <w:p>
            <w:pPr>
              <w:pStyle w:val="4"/>
              <w:widowControl/>
              <w:spacing w:beforeAutospacing="0" w:afterAutospacing="0"/>
              <w:jc w:val="both"/>
              <w:rPr>
                <w:rFonts w:ascii="仿宋" w:hAnsi="仿宋" w:eastAsia="仿宋" w:cs="仿宋"/>
              </w:rPr>
            </w:pPr>
            <w:r>
              <w:rPr>
                <w:rFonts w:hint="eastAsia" w:ascii="仿宋" w:hAnsi="仿宋" w:eastAsia="仿宋" w:cs="仿宋"/>
              </w:rPr>
              <w:t>2.1业务指标扩展。主要增加“个人代持股情况”、“主要行业1/2/3”等15个数据指标，增幅20%。</w:t>
            </w:r>
          </w:p>
          <w:p>
            <w:pPr>
              <w:pStyle w:val="4"/>
              <w:widowControl/>
              <w:spacing w:beforeAutospacing="0" w:afterAutospacing="0"/>
              <w:jc w:val="both"/>
              <w:rPr>
                <w:rFonts w:ascii="仿宋" w:hAnsi="仿宋" w:eastAsia="仿宋" w:cs="仿宋"/>
              </w:rPr>
            </w:pPr>
            <w:r>
              <w:rPr>
                <w:rFonts w:hint="eastAsia" w:ascii="仿宋" w:hAnsi="仿宋" w:eastAsia="仿宋" w:cs="仿宋"/>
              </w:rPr>
              <w:t>2.2基础数据对标。主要包括“企业类别”、“国资监管机构类型”等8个基础数据指标，需梳理、更新存量业务数据1.3万条。</w:t>
            </w:r>
          </w:p>
          <w:p>
            <w:pPr>
              <w:pStyle w:val="4"/>
              <w:widowControl/>
              <w:spacing w:beforeAutospacing="0" w:afterAutospacing="0"/>
              <w:jc w:val="both"/>
              <w:rPr>
                <w:rFonts w:ascii="仿宋" w:hAnsi="仿宋" w:eastAsia="仿宋" w:cs="仿宋"/>
              </w:rPr>
            </w:pPr>
            <w:r>
              <w:rPr>
                <w:rFonts w:hint="eastAsia" w:ascii="仿宋" w:hAnsi="仿宋" w:eastAsia="仿宋" w:cs="仿宋"/>
              </w:rPr>
              <w:t>2.3增加“登记数据维护”模块。为加快产权数据登记管理，本次新开发产权登记维护模块供省国资委、9地市国资委（不含厦门）、所出资企业及权属企业使用，并由所出资企业对产权维护数据进行核对。</w:t>
            </w:r>
          </w:p>
          <w:p>
            <w:pPr>
              <w:pStyle w:val="4"/>
              <w:widowControl/>
              <w:spacing w:beforeAutospacing="0" w:afterAutospacing="0"/>
              <w:jc w:val="both"/>
              <w:rPr>
                <w:rFonts w:ascii="仿宋" w:hAnsi="仿宋" w:eastAsia="仿宋" w:cs="仿宋"/>
              </w:rPr>
            </w:pPr>
            <w:r>
              <w:rPr>
                <w:rFonts w:hint="eastAsia" w:ascii="仿宋" w:hAnsi="仿宋" w:eastAsia="仿宋" w:cs="仿宋"/>
              </w:rPr>
              <w:t>2.4在已开放产权登记基础上，增加开放产权交易行为审批管理、资产登记管理、资产处置管理、资产评估管理、查询统计等功能，为各地市国资委提供一套统一的福建省国资产权管理信息系统。</w:t>
            </w:r>
          </w:p>
        </w:tc>
        <w:tc>
          <w:tcPr>
            <w:tcW w:w="556" w:type="dxa"/>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1121"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806" w:type="dxa"/>
            <w:shd w:val="clear" w:color="auto" w:fill="auto"/>
            <w:tcMar>
              <w:top w:w="0" w:type="dxa"/>
              <w:left w:w="70" w:type="dxa"/>
              <w:bottom w:w="0" w:type="dxa"/>
              <w:right w:w="70" w:type="dxa"/>
            </w:tcMar>
            <w:vAlign w:val="center"/>
          </w:tcPr>
          <w:p>
            <w:pPr>
              <w:pStyle w:val="4"/>
              <w:widowControl/>
              <w:spacing w:beforeAutospacing="0" w:afterAutospacing="0"/>
              <w:jc w:val="center"/>
              <w:rPr>
                <w:rStyle w:val="6"/>
                <w:rFonts w:ascii="仿宋" w:hAnsi="仿宋" w:eastAsia="仿宋" w:cs="仿宋"/>
                <w:color w:val="333333"/>
              </w:rPr>
            </w:pPr>
            <w:r>
              <w:rPr>
                <w:rStyle w:val="6"/>
                <w:rFonts w:hint="eastAsia" w:ascii="仿宋" w:hAnsi="仿宋" w:eastAsia="仿宋" w:cs="仿宋"/>
                <w:color w:val="333333"/>
              </w:rPr>
              <w:t>3</w:t>
            </w:r>
          </w:p>
        </w:tc>
        <w:tc>
          <w:tcPr>
            <w:tcW w:w="3522" w:type="dxa"/>
            <w:shd w:val="clear" w:color="auto" w:fill="auto"/>
            <w:tcMar>
              <w:top w:w="0" w:type="dxa"/>
              <w:left w:w="70" w:type="dxa"/>
              <w:bottom w:w="0" w:type="dxa"/>
              <w:right w:w="70" w:type="dxa"/>
            </w:tcMar>
            <w:vAlign w:val="center"/>
          </w:tcPr>
          <w:p>
            <w:pPr>
              <w:pStyle w:val="4"/>
              <w:widowControl/>
              <w:spacing w:beforeAutospacing="0" w:afterAutospacing="0"/>
              <w:jc w:val="both"/>
              <w:rPr>
                <w:rFonts w:ascii="仿宋" w:hAnsi="仿宋" w:eastAsia="仿宋" w:cs="仿宋"/>
              </w:rPr>
            </w:pPr>
            <w:r>
              <w:rPr>
                <w:rFonts w:hint="eastAsia" w:ascii="仿宋" w:hAnsi="仿宋" w:eastAsia="仿宋" w:cs="仿宋"/>
              </w:rPr>
              <w:t>（三）全省产权登记数据联通汇聚</w:t>
            </w:r>
          </w:p>
          <w:p>
            <w:pPr>
              <w:pStyle w:val="4"/>
              <w:widowControl/>
              <w:spacing w:beforeAutospacing="0" w:afterAutospacing="0"/>
              <w:jc w:val="both"/>
              <w:rPr>
                <w:rFonts w:ascii="仿宋" w:hAnsi="仿宋" w:eastAsia="仿宋" w:cs="仿宋"/>
              </w:rPr>
            </w:pPr>
            <w:r>
              <w:rPr>
                <w:rFonts w:hint="eastAsia" w:ascii="仿宋" w:hAnsi="仿宋" w:eastAsia="仿宋" w:cs="仿宋"/>
              </w:rPr>
              <w:t>3.1指导全省各地市国资委、所出资企业及其权属企业，完成产权登记数据的采集、补录、数据校验等工作。</w:t>
            </w:r>
          </w:p>
          <w:p>
            <w:pPr>
              <w:pStyle w:val="4"/>
              <w:widowControl/>
              <w:spacing w:beforeAutospacing="0" w:afterAutospacing="0"/>
              <w:jc w:val="both"/>
              <w:rPr>
                <w:rFonts w:ascii="仿宋" w:hAnsi="仿宋" w:eastAsia="仿宋" w:cs="仿宋"/>
              </w:rPr>
            </w:pPr>
            <w:r>
              <w:rPr>
                <w:rFonts w:hint="eastAsia" w:ascii="仿宋" w:hAnsi="仿宋" w:eastAsia="仿宋" w:cs="仿宋"/>
              </w:rPr>
              <w:t>3.2针对不使用福建省国资产权管理信息系统的地市国资委开展系统对接工作。开发福建省国资产权管理信息系统数据汇聚接口，编制数据接口技术规范，提供给自建系统的地市国资委对接联调。</w:t>
            </w:r>
          </w:p>
        </w:tc>
        <w:tc>
          <w:tcPr>
            <w:tcW w:w="556" w:type="dxa"/>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c>
          <w:tcPr>
            <w:tcW w:w="1121"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4"/>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0" w:hRule="atLeast"/>
        </w:trPr>
        <w:tc>
          <w:tcPr>
            <w:tcW w:w="806" w:type="dxa"/>
            <w:tcBorders>
              <w:tl2br w:val="nil"/>
              <w:tr2bl w:val="nil"/>
            </w:tcBorders>
            <w:shd w:val="clear" w:color="auto" w:fill="auto"/>
            <w:tcMar>
              <w:top w:w="0" w:type="dxa"/>
              <w:left w:w="70" w:type="dxa"/>
              <w:bottom w:w="0" w:type="dxa"/>
              <w:right w:w="70" w:type="dxa"/>
            </w:tcMar>
          </w:tcPr>
          <w:p>
            <w:pPr>
              <w:pStyle w:val="4"/>
              <w:widowControl/>
              <w:spacing w:beforeAutospacing="0" w:afterAutospacing="0" w:line="210" w:lineRule="atLeast"/>
              <w:jc w:val="center"/>
              <w:rPr>
                <w:rFonts w:ascii="仿宋" w:hAnsi="仿宋" w:eastAsia="仿宋" w:cs="仿宋"/>
              </w:rPr>
            </w:pPr>
            <w:r>
              <w:rPr>
                <w:rStyle w:val="6"/>
                <w:rFonts w:hint="eastAsia" w:ascii="仿宋" w:hAnsi="仿宋" w:eastAsia="仿宋" w:cs="仿宋"/>
                <w:color w:val="333333"/>
              </w:rPr>
              <w:t>序号</w:t>
            </w:r>
          </w:p>
        </w:tc>
        <w:tc>
          <w:tcPr>
            <w:tcW w:w="6311" w:type="dxa"/>
            <w:gridSpan w:val="5"/>
            <w:tcBorders>
              <w:tl2br w:val="nil"/>
              <w:tr2bl w:val="nil"/>
            </w:tcBorders>
            <w:shd w:val="clear" w:color="auto" w:fill="auto"/>
            <w:tcMar>
              <w:top w:w="0" w:type="dxa"/>
              <w:left w:w="70" w:type="dxa"/>
              <w:bottom w:w="0" w:type="dxa"/>
              <w:right w:w="70" w:type="dxa"/>
            </w:tcMar>
          </w:tcPr>
          <w:p>
            <w:pPr>
              <w:pStyle w:val="4"/>
              <w:widowControl/>
              <w:spacing w:beforeAutospacing="0" w:afterAutospacing="0" w:line="210" w:lineRule="atLeast"/>
              <w:jc w:val="center"/>
              <w:rPr>
                <w:rFonts w:ascii="仿宋" w:hAnsi="仿宋" w:eastAsia="仿宋" w:cs="仿宋"/>
              </w:rPr>
            </w:pPr>
            <w:r>
              <w:rPr>
                <w:rStyle w:val="6"/>
                <w:rFonts w:hint="eastAsia" w:ascii="仿宋" w:hAnsi="仿宋" w:eastAsia="仿宋" w:cs="仿宋"/>
                <w:color w:val="333333"/>
              </w:rPr>
              <w:t>商务要求</w:t>
            </w:r>
          </w:p>
        </w:tc>
        <w:tc>
          <w:tcPr>
            <w:tcW w:w="1326" w:type="dxa"/>
            <w:tcBorders>
              <w:tl2br w:val="nil"/>
              <w:tr2bl w:val="nil"/>
            </w:tcBorders>
            <w:shd w:val="clear" w:color="auto" w:fill="auto"/>
            <w:tcMar>
              <w:top w:w="0" w:type="dxa"/>
              <w:left w:w="70" w:type="dxa"/>
              <w:bottom w:w="0" w:type="dxa"/>
              <w:right w:w="70" w:type="dxa"/>
            </w:tcMar>
          </w:tcPr>
          <w:p>
            <w:pPr>
              <w:pStyle w:val="4"/>
              <w:widowControl/>
              <w:spacing w:beforeAutospacing="0" w:afterAutospacing="0" w:line="210" w:lineRule="atLeast"/>
              <w:jc w:val="center"/>
              <w:rPr>
                <w:rFonts w:ascii="仿宋" w:hAnsi="仿宋" w:eastAsia="仿宋" w:cs="仿宋"/>
              </w:rPr>
            </w:pPr>
            <w:r>
              <w:rPr>
                <w:rStyle w:val="6"/>
                <w:rFonts w:hint="eastAsia" w:ascii="仿宋" w:hAnsi="仿宋" w:eastAsia="仿宋" w:cs="仿宋"/>
                <w:color w:val="333333"/>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1</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Style w:val="6"/>
                <w:rFonts w:hint="eastAsia" w:ascii="仿宋" w:hAnsi="仿宋" w:eastAsia="仿宋" w:cs="仿宋"/>
                <w:color w:val="333333"/>
              </w:rPr>
              <w:t>交付地点：</w:t>
            </w:r>
            <w:r>
              <w:rPr>
                <w:rStyle w:val="6"/>
                <w:rFonts w:hint="eastAsia" w:ascii="仿宋" w:hAnsi="仿宋" w:eastAsia="仿宋" w:cs="仿宋"/>
                <w:b w:val="0"/>
                <w:bCs/>
                <w:color w:val="333333"/>
              </w:rPr>
              <w:t>福建省福州市鼓楼区东大路73号1号楼</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2</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Style w:val="6"/>
                <w:rFonts w:hint="eastAsia" w:ascii="仿宋" w:hAnsi="仿宋" w:eastAsia="仿宋" w:cs="仿宋"/>
                <w:color w:val="333333"/>
              </w:rPr>
              <w:t>交付时间：</w:t>
            </w:r>
            <w:r>
              <w:rPr>
                <w:rFonts w:hint="eastAsia" w:ascii="仿宋" w:hAnsi="仿宋" w:eastAsia="仿宋" w:cs="仿宋"/>
              </w:rPr>
              <w:t>合同签订后(30)天内</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3</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Style w:val="6"/>
                <w:rFonts w:hint="eastAsia" w:ascii="仿宋" w:hAnsi="仿宋" w:eastAsia="仿宋" w:cs="仿宋"/>
                <w:color w:val="333333"/>
              </w:rPr>
              <w:t>交付条件：</w:t>
            </w:r>
            <w:r>
              <w:rPr>
                <w:rFonts w:hint="eastAsia" w:ascii="仿宋" w:hAnsi="仿宋" w:eastAsia="仿宋" w:cs="仿宋"/>
                <w:color w:val="333333"/>
              </w:rPr>
              <w:t>系统运行正常</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4</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Fonts w:hint="eastAsia" w:ascii="仿宋" w:hAnsi="仿宋" w:eastAsia="仿宋" w:cs="仿宋"/>
                <w:color w:val="333333"/>
              </w:rPr>
              <w:t>是否收取履约保证金：</w:t>
            </w:r>
            <w:r>
              <w:rPr>
                <w:rStyle w:val="6"/>
                <w:rFonts w:hint="eastAsia" w:ascii="仿宋" w:hAnsi="仿宋" w:eastAsia="仿宋" w:cs="仿宋"/>
                <w:color w:val="333333"/>
              </w:rPr>
              <w:t>否</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5</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Fonts w:hint="eastAsia" w:ascii="仿宋" w:hAnsi="仿宋" w:eastAsia="仿宋" w:cs="仿宋"/>
                <w:color w:val="333333"/>
              </w:rPr>
              <w:t>是否邀请报价人参与验收：</w:t>
            </w:r>
            <w:r>
              <w:rPr>
                <w:rStyle w:val="6"/>
                <w:rFonts w:hint="eastAsia" w:ascii="仿宋" w:hAnsi="仿宋" w:eastAsia="仿宋" w:cs="仿宋"/>
                <w:color w:val="333333"/>
              </w:rPr>
              <w:t>否</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6</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Style w:val="6"/>
                <w:rFonts w:hint="eastAsia" w:ascii="仿宋" w:hAnsi="仿宋" w:eastAsia="仿宋" w:cs="仿宋"/>
                <w:color w:val="333333"/>
              </w:rPr>
              <w:t>验收要求：</w:t>
            </w:r>
            <w:r>
              <w:rPr>
                <w:rFonts w:hint="eastAsia" w:ascii="仿宋" w:hAnsi="仿宋" w:eastAsia="仿宋" w:cs="仿宋"/>
                <w:color w:val="333333"/>
              </w:rPr>
              <w:t>系统建设完成后，中标人提出验收申请，采购人按要求进行验收。</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7</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Fonts w:ascii="仿宋" w:hAnsi="仿宋" w:eastAsia="仿宋" w:cs="仿宋"/>
              </w:rPr>
            </w:pPr>
            <w:r>
              <w:rPr>
                <w:rStyle w:val="6"/>
                <w:rFonts w:hint="eastAsia" w:ascii="仿宋" w:hAnsi="仿宋" w:eastAsia="仿宋" w:cs="仿宋"/>
                <w:color w:val="333333"/>
              </w:rPr>
              <w:t>付款方式：</w:t>
            </w:r>
          </w:p>
          <w:p>
            <w:pPr>
              <w:pStyle w:val="4"/>
              <w:widowControl/>
              <w:spacing w:beforeAutospacing="0" w:afterAutospacing="0" w:line="210" w:lineRule="atLeast"/>
              <w:jc w:val="both"/>
              <w:rPr>
                <w:rFonts w:ascii="仿宋" w:hAnsi="仿宋" w:eastAsia="仿宋" w:cs="仿宋"/>
              </w:rPr>
            </w:pPr>
            <w:r>
              <w:rPr>
                <w:rStyle w:val="6"/>
                <w:rFonts w:hint="eastAsia" w:ascii="仿宋" w:hAnsi="仿宋" w:eastAsia="仿宋" w:cs="仿宋"/>
                <w:color w:val="333333"/>
              </w:rPr>
              <w:t>①</w:t>
            </w:r>
            <w:r>
              <w:rPr>
                <w:rFonts w:hint="eastAsia" w:ascii="仿宋" w:hAnsi="仿宋" w:eastAsia="仿宋" w:cs="仿宋"/>
                <w:color w:val="333333"/>
              </w:rPr>
              <w:t>合同签订后15个工作日内，采购人支付50%的合同总价款。</w:t>
            </w:r>
          </w:p>
          <w:p>
            <w:pPr>
              <w:pStyle w:val="4"/>
              <w:widowControl/>
              <w:spacing w:beforeAutospacing="0" w:afterAutospacing="0" w:line="210" w:lineRule="atLeast"/>
              <w:jc w:val="both"/>
              <w:rPr>
                <w:rFonts w:ascii="仿宋" w:hAnsi="仿宋" w:eastAsia="仿宋" w:cs="仿宋"/>
                <w:color w:val="333333"/>
              </w:rPr>
            </w:pPr>
            <w:r>
              <w:rPr>
                <w:rStyle w:val="6"/>
                <w:rFonts w:hint="eastAsia" w:ascii="仿宋" w:hAnsi="仿宋" w:eastAsia="仿宋" w:cs="仿宋"/>
                <w:color w:val="333333"/>
              </w:rPr>
              <w:t>②</w:t>
            </w:r>
            <w:r>
              <w:rPr>
                <w:rFonts w:hint="eastAsia" w:ascii="仿宋" w:hAnsi="仿宋" w:eastAsia="仿宋" w:cs="仿宋"/>
                <w:color w:val="333333"/>
              </w:rPr>
              <w:t>验收通过后15个工作日内，采购人支付50%的合同总价款。</w:t>
            </w:r>
          </w:p>
          <w:p>
            <w:pPr>
              <w:pStyle w:val="4"/>
              <w:widowControl/>
              <w:spacing w:beforeAutospacing="0" w:afterAutospacing="0" w:line="210" w:lineRule="atLeast"/>
              <w:jc w:val="both"/>
              <w:rPr>
                <w:rFonts w:ascii="仿宋" w:hAnsi="仿宋" w:eastAsia="仿宋" w:cs="仿宋"/>
                <w:color w:val="333333"/>
              </w:rPr>
            </w:pPr>
            <w:r>
              <w:rPr>
                <w:rFonts w:hint="eastAsia" w:ascii="仿宋" w:hAnsi="仿宋" w:eastAsia="仿宋" w:cs="仿宋"/>
                <w:b/>
                <w:bCs/>
                <w:color w:val="000000" w:themeColor="text1"/>
              </w:rPr>
              <w:t>注：</w:t>
            </w:r>
            <w:r>
              <w:rPr>
                <w:rFonts w:hint="eastAsia" w:ascii="仿宋" w:hAnsi="仿宋" w:eastAsia="仿宋" w:cs="仿宋"/>
                <w:color w:val="000000" w:themeColor="text1"/>
              </w:rPr>
              <w:t>采购人向中标人支付每笔款项时，中标人均应向采购人提供等额税务正式发票。</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6" w:type="dxa"/>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center"/>
              <w:rPr>
                <w:rFonts w:ascii="仿宋" w:hAnsi="仿宋" w:eastAsia="仿宋" w:cs="仿宋"/>
                <w:color w:val="333333"/>
              </w:rPr>
            </w:pPr>
            <w:r>
              <w:rPr>
                <w:rFonts w:hint="eastAsia" w:ascii="仿宋" w:hAnsi="仿宋" w:eastAsia="仿宋" w:cs="仿宋"/>
                <w:color w:val="333333"/>
              </w:rPr>
              <w:t>8</w:t>
            </w:r>
          </w:p>
        </w:tc>
        <w:tc>
          <w:tcPr>
            <w:tcW w:w="6311" w:type="dxa"/>
            <w:gridSpan w:val="5"/>
            <w:tcBorders>
              <w:tl2br w:val="nil"/>
              <w:tr2bl w:val="nil"/>
            </w:tcBorders>
            <w:shd w:val="clear" w:color="auto" w:fill="auto"/>
            <w:tcMar>
              <w:top w:w="0" w:type="dxa"/>
              <w:left w:w="70" w:type="dxa"/>
              <w:bottom w:w="0" w:type="dxa"/>
              <w:right w:w="70" w:type="dxa"/>
            </w:tcMar>
            <w:vAlign w:val="center"/>
          </w:tcPr>
          <w:p>
            <w:pPr>
              <w:pStyle w:val="4"/>
              <w:widowControl/>
              <w:spacing w:beforeAutospacing="0" w:afterAutospacing="0" w:line="210" w:lineRule="atLeast"/>
              <w:jc w:val="both"/>
              <w:rPr>
                <w:rStyle w:val="6"/>
                <w:rFonts w:ascii="仿宋" w:hAnsi="仿宋" w:eastAsia="仿宋" w:cs="仿宋"/>
                <w:color w:val="333333"/>
              </w:rPr>
            </w:pPr>
            <w:r>
              <w:rPr>
                <w:rFonts w:hint="eastAsia" w:ascii="仿宋" w:hAnsi="仿宋" w:eastAsia="仿宋" w:cs="仿宋"/>
                <w:b/>
                <w:bCs/>
              </w:rPr>
              <w:t>其他要求：</w:t>
            </w:r>
            <w:r>
              <w:rPr>
                <w:rFonts w:hint="eastAsia" w:ascii="仿宋" w:hAnsi="仿宋" w:eastAsia="仿宋" w:cs="仿宋"/>
              </w:rPr>
              <w:t>中标人在合同签订后(10)天内，主动与福建省国资产权管理信息系统软件的原承建单位实现服务无缝对接并支付相关费用。</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bl>
    <w:p>
      <w:pPr>
        <w:rPr>
          <w:rFonts w:ascii="仿宋" w:hAnsi="仿宋" w:eastAsia="仿宋" w:cs="仿宋"/>
          <w:sz w:val="28"/>
          <w:szCs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rPr>
                            <w:t>4</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rPr>
                      <w:t>4</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hNjY3MjhhZjU0MzM4YTljYjgyOTY4MjU1YmExODIifQ=="/>
  </w:docVars>
  <w:rsids>
    <w:rsidRoot w:val="39563D17"/>
    <w:rsid w:val="00135135"/>
    <w:rsid w:val="001645DE"/>
    <w:rsid w:val="002A7436"/>
    <w:rsid w:val="002B06D1"/>
    <w:rsid w:val="002B33DD"/>
    <w:rsid w:val="004E43BF"/>
    <w:rsid w:val="005A2D64"/>
    <w:rsid w:val="006A321F"/>
    <w:rsid w:val="00721A6F"/>
    <w:rsid w:val="007B5DFD"/>
    <w:rsid w:val="007F680D"/>
    <w:rsid w:val="00AD558A"/>
    <w:rsid w:val="00C823C4"/>
    <w:rsid w:val="00D84242"/>
    <w:rsid w:val="00DD5806"/>
    <w:rsid w:val="00DE5743"/>
    <w:rsid w:val="00EF7950"/>
    <w:rsid w:val="00F74A57"/>
    <w:rsid w:val="00FA00A3"/>
    <w:rsid w:val="01145609"/>
    <w:rsid w:val="01217276"/>
    <w:rsid w:val="01626374"/>
    <w:rsid w:val="016C2D4F"/>
    <w:rsid w:val="017E0CD4"/>
    <w:rsid w:val="01933707"/>
    <w:rsid w:val="01AF70E0"/>
    <w:rsid w:val="01B46088"/>
    <w:rsid w:val="01D408F4"/>
    <w:rsid w:val="01FA47FF"/>
    <w:rsid w:val="020016E9"/>
    <w:rsid w:val="0261662C"/>
    <w:rsid w:val="026954E1"/>
    <w:rsid w:val="026B3007"/>
    <w:rsid w:val="02B86C41"/>
    <w:rsid w:val="02C1356F"/>
    <w:rsid w:val="02CB619B"/>
    <w:rsid w:val="02D05560"/>
    <w:rsid w:val="02F254D6"/>
    <w:rsid w:val="02FE031F"/>
    <w:rsid w:val="030E7E36"/>
    <w:rsid w:val="030F42DA"/>
    <w:rsid w:val="03123DCA"/>
    <w:rsid w:val="031A67DB"/>
    <w:rsid w:val="031C2553"/>
    <w:rsid w:val="03217B69"/>
    <w:rsid w:val="032D650E"/>
    <w:rsid w:val="0337738D"/>
    <w:rsid w:val="033E4BBF"/>
    <w:rsid w:val="03522419"/>
    <w:rsid w:val="0361440A"/>
    <w:rsid w:val="03863E70"/>
    <w:rsid w:val="03A013D6"/>
    <w:rsid w:val="03A762C0"/>
    <w:rsid w:val="03B44E81"/>
    <w:rsid w:val="03BB1D6C"/>
    <w:rsid w:val="03CF064F"/>
    <w:rsid w:val="04003C23"/>
    <w:rsid w:val="04267B2D"/>
    <w:rsid w:val="042C0EBC"/>
    <w:rsid w:val="043438CC"/>
    <w:rsid w:val="0442248D"/>
    <w:rsid w:val="045C354F"/>
    <w:rsid w:val="045F6B9B"/>
    <w:rsid w:val="0462668B"/>
    <w:rsid w:val="046C3066"/>
    <w:rsid w:val="046E6DDE"/>
    <w:rsid w:val="049251C3"/>
    <w:rsid w:val="04983E5B"/>
    <w:rsid w:val="049D76C3"/>
    <w:rsid w:val="049F51EA"/>
    <w:rsid w:val="04A722F0"/>
    <w:rsid w:val="04C11604"/>
    <w:rsid w:val="04CF728E"/>
    <w:rsid w:val="04ED41A7"/>
    <w:rsid w:val="04FE4606"/>
    <w:rsid w:val="0525564C"/>
    <w:rsid w:val="055661F0"/>
    <w:rsid w:val="05607CB6"/>
    <w:rsid w:val="05663F59"/>
    <w:rsid w:val="05CD3FD8"/>
    <w:rsid w:val="05DD1F63"/>
    <w:rsid w:val="05DE7F94"/>
    <w:rsid w:val="05F96B7B"/>
    <w:rsid w:val="061A5470"/>
    <w:rsid w:val="06210291"/>
    <w:rsid w:val="065F10D4"/>
    <w:rsid w:val="067F1777"/>
    <w:rsid w:val="06826B71"/>
    <w:rsid w:val="068E5516"/>
    <w:rsid w:val="069D1BFD"/>
    <w:rsid w:val="070D6D82"/>
    <w:rsid w:val="071719AF"/>
    <w:rsid w:val="072A4378"/>
    <w:rsid w:val="073C31C4"/>
    <w:rsid w:val="07434552"/>
    <w:rsid w:val="074F739B"/>
    <w:rsid w:val="07862691"/>
    <w:rsid w:val="079E79DA"/>
    <w:rsid w:val="07B216D8"/>
    <w:rsid w:val="07E15B19"/>
    <w:rsid w:val="080C528C"/>
    <w:rsid w:val="082A3964"/>
    <w:rsid w:val="085207C5"/>
    <w:rsid w:val="08564759"/>
    <w:rsid w:val="08732C15"/>
    <w:rsid w:val="0895702F"/>
    <w:rsid w:val="089A2898"/>
    <w:rsid w:val="08B5322E"/>
    <w:rsid w:val="08E9737B"/>
    <w:rsid w:val="08FA1862"/>
    <w:rsid w:val="091066B6"/>
    <w:rsid w:val="091E5277"/>
    <w:rsid w:val="09336848"/>
    <w:rsid w:val="09414AC1"/>
    <w:rsid w:val="094B1DE4"/>
    <w:rsid w:val="0966277A"/>
    <w:rsid w:val="0978425B"/>
    <w:rsid w:val="098A290C"/>
    <w:rsid w:val="09AB63DF"/>
    <w:rsid w:val="09C63218"/>
    <w:rsid w:val="09C94AB7"/>
    <w:rsid w:val="09DF2CCA"/>
    <w:rsid w:val="09E0252C"/>
    <w:rsid w:val="09E33DCA"/>
    <w:rsid w:val="09ED2E9B"/>
    <w:rsid w:val="0A0C3321"/>
    <w:rsid w:val="0A2C751F"/>
    <w:rsid w:val="0A326B00"/>
    <w:rsid w:val="0A546A76"/>
    <w:rsid w:val="0A5D696F"/>
    <w:rsid w:val="0A762E91"/>
    <w:rsid w:val="0AB15C77"/>
    <w:rsid w:val="0AB614DF"/>
    <w:rsid w:val="0ABB18DB"/>
    <w:rsid w:val="0ABD0ABF"/>
    <w:rsid w:val="0AD61B81"/>
    <w:rsid w:val="0ADD6A6C"/>
    <w:rsid w:val="0B161F7E"/>
    <w:rsid w:val="0B187AA4"/>
    <w:rsid w:val="0B666A61"/>
    <w:rsid w:val="0B8E7D66"/>
    <w:rsid w:val="0B901D30"/>
    <w:rsid w:val="0BA207B5"/>
    <w:rsid w:val="0BBE4AEF"/>
    <w:rsid w:val="0BDB744F"/>
    <w:rsid w:val="0BE34556"/>
    <w:rsid w:val="0BF64289"/>
    <w:rsid w:val="0BFE313E"/>
    <w:rsid w:val="0C012C2E"/>
    <w:rsid w:val="0C087B18"/>
    <w:rsid w:val="0C1A784C"/>
    <w:rsid w:val="0C1D75DB"/>
    <w:rsid w:val="0C1F4E62"/>
    <w:rsid w:val="0C985340"/>
    <w:rsid w:val="0C9E222B"/>
    <w:rsid w:val="0CA05D38"/>
    <w:rsid w:val="0CB832EC"/>
    <w:rsid w:val="0CCA74C4"/>
    <w:rsid w:val="0CCF21D2"/>
    <w:rsid w:val="0CD81BE1"/>
    <w:rsid w:val="0CE265BB"/>
    <w:rsid w:val="0D080EBF"/>
    <w:rsid w:val="0D0C188A"/>
    <w:rsid w:val="0D1129FD"/>
    <w:rsid w:val="0D1B387B"/>
    <w:rsid w:val="0D3606B5"/>
    <w:rsid w:val="0D4B3D8E"/>
    <w:rsid w:val="0D611BD6"/>
    <w:rsid w:val="0D6D057B"/>
    <w:rsid w:val="0D7042CE"/>
    <w:rsid w:val="0D731909"/>
    <w:rsid w:val="0D8458C4"/>
    <w:rsid w:val="0DA72068"/>
    <w:rsid w:val="0DA9532B"/>
    <w:rsid w:val="0DB717F6"/>
    <w:rsid w:val="0DE6032D"/>
    <w:rsid w:val="0DED5218"/>
    <w:rsid w:val="0DF06AB6"/>
    <w:rsid w:val="0DF30354"/>
    <w:rsid w:val="0DFC545B"/>
    <w:rsid w:val="0E0D58BA"/>
    <w:rsid w:val="0E197DBB"/>
    <w:rsid w:val="0E3A41D5"/>
    <w:rsid w:val="0E4137B5"/>
    <w:rsid w:val="0E4F7C80"/>
    <w:rsid w:val="0E71409B"/>
    <w:rsid w:val="0E7616B1"/>
    <w:rsid w:val="0E8437DC"/>
    <w:rsid w:val="0EB14497"/>
    <w:rsid w:val="0EB83A78"/>
    <w:rsid w:val="0ECA37AB"/>
    <w:rsid w:val="0ECC307F"/>
    <w:rsid w:val="0EE859DF"/>
    <w:rsid w:val="0F1D38DB"/>
    <w:rsid w:val="0F3B1FB3"/>
    <w:rsid w:val="0F492922"/>
    <w:rsid w:val="0F5372FC"/>
    <w:rsid w:val="0F692FC4"/>
    <w:rsid w:val="0F8751F8"/>
    <w:rsid w:val="0FB56209"/>
    <w:rsid w:val="0FD66E76"/>
    <w:rsid w:val="0FDF3BF3"/>
    <w:rsid w:val="0FF02D9D"/>
    <w:rsid w:val="0FFC3E38"/>
    <w:rsid w:val="10014FAA"/>
    <w:rsid w:val="100603BB"/>
    <w:rsid w:val="10086339"/>
    <w:rsid w:val="102A2753"/>
    <w:rsid w:val="106F63B8"/>
    <w:rsid w:val="107E2A9F"/>
    <w:rsid w:val="109127D2"/>
    <w:rsid w:val="10A33A3D"/>
    <w:rsid w:val="10A67900"/>
    <w:rsid w:val="10CC744E"/>
    <w:rsid w:val="10DB57FB"/>
    <w:rsid w:val="10F468BD"/>
    <w:rsid w:val="110E5BD1"/>
    <w:rsid w:val="112F5B47"/>
    <w:rsid w:val="11382C4E"/>
    <w:rsid w:val="114C494B"/>
    <w:rsid w:val="11586E4C"/>
    <w:rsid w:val="116457F1"/>
    <w:rsid w:val="1184611D"/>
    <w:rsid w:val="1186357B"/>
    <w:rsid w:val="11A227BD"/>
    <w:rsid w:val="11CC3396"/>
    <w:rsid w:val="11E93F48"/>
    <w:rsid w:val="1292438F"/>
    <w:rsid w:val="12F40DF6"/>
    <w:rsid w:val="13031039"/>
    <w:rsid w:val="130354DD"/>
    <w:rsid w:val="133B07D3"/>
    <w:rsid w:val="133D09EF"/>
    <w:rsid w:val="13441D7E"/>
    <w:rsid w:val="134A310C"/>
    <w:rsid w:val="134E49AB"/>
    <w:rsid w:val="135B2C24"/>
    <w:rsid w:val="138A52B7"/>
    <w:rsid w:val="139879D4"/>
    <w:rsid w:val="13AE369B"/>
    <w:rsid w:val="13AE71F7"/>
    <w:rsid w:val="13CC3B21"/>
    <w:rsid w:val="14302302"/>
    <w:rsid w:val="14397409"/>
    <w:rsid w:val="14432035"/>
    <w:rsid w:val="14661880"/>
    <w:rsid w:val="14787805"/>
    <w:rsid w:val="14885C9A"/>
    <w:rsid w:val="14B4083D"/>
    <w:rsid w:val="14C12F5A"/>
    <w:rsid w:val="14CB202B"/>
    <w:rsid w:val="14CB3DD9"/>
    <w:rsid w:val="14D64C58"/>
    <w:rsid w:val="14FE41AE"/>
    <w:rsid w:val="15567B46"/>
    <w:rsid w:val="1559539C"/>
    <w:rsid w:val="15657D89"/>
    <w:rsid w:val="15916DD0"/>
    <w:rsid w:val="15AC3C0A"/>
    <w:rsid w:val="15AC7766"/>
    <w:rsid w:val="15BB138C"/>
    <w:rsid w:val="15BB209F"/>
    <w:rsid w:val="16092E0B"/>
    <w:rsid w:val="161A5018"/>
    <w:rsid w:val="161A6DC6"/>
    <w:rsid w:val="162C356B"/>
    <w:rsid w:val="166444E5"/>
    <w:rsid w:val="166B13D0"/>
    <w:rsid w:val="1695644C"/>
    <w:rsid w:val="169A1CB5"/>
    <w:rsid w:val="16CA07EC"/>
    <w:rsid w:val="16CB1E6E"/>
    <w:rsid w:val="16CF5E02"/>
    <w:rsid w:val="16D056D6"/>
    <w:rsid w:val="16F5513D"/>
    <w:rsid w:val="171B1048"/>
    <w:rsid w:val="17732C32"/>
    <w:rsid w:val="179B5CE4"/>
    <w:rsid w:val="179E7583"/>
    <w:rsid w:val="17A536B9"/>
    <w:rsid w:val="17CF598E"/>
    <w:rsid w:val="17F04282"/>
    <w:rsid w:val="17FD699F"/>
    <w:rsid w:val="18277578"/>
    <w:rsid w:val="18383533"/>
    <w:rsid w:val="183C74C7"/>
    <w:rsid w:val="183D0B4A"/>
    <w:rsid w:val="184C3483"/>
    <w:rsid w:val="185A16FC"/>
    <w:rsid w:val="188D6FAE"/>
    <w:rsid w:val="18AB1F57"/>
    <w:rsid w:val="18B232E6"/>
    <w:rsid w:val="18BC23B6"/>
    <w:rsid w:val="18D524FF"/>
    <w:rsid w:val="18DF60A5"/>
    <w:rsid w:val="18F71640"/>
    <w:rsid w:val="18F96495"/>
    <w:rsid w:val="19241D0A"/>
    <w:rsid w:val="193957B5"/>
    <w:rsid w:val="194A79C2"/>
    <w:rsid w:val="194D1260"/>
    <w:rsid w:val="19573E8D"/>
    <w:rsid w:val="195E7F0D"/>
    <w:rsid w:val="198527A8"/>
    <w:rsid w:val="199E673F"/>
    <w:rsid w:val="19A74E14"/>
    <w:rsid w:val="19DB2D10"/>
    <w:rsid w:val="19DF45AE"/>
    <w:rsid w:val="19E27BFB"/>
    <w:rsid w:val="19E82D37"/>
    <w:rsid w:val="1A136006"/>
    <w:rsid w:val="1A240213"/>
    <w:rsid w:val="1A277D03"/>
    <w:rsid w:val="1A385A6D"/>
    <w:rsid w:val="1A5328A6"/>
    <w:rsid w:val="1A5F2FF9"/>
    <w:rsid w:val="1A606D71"/>
    <w:rsid w:val="1A646826"/>
    <w:rsid w:val="1A7D3DC7"/>
    <w:rsid w:val="1A952EBF"/>
    <w:rsid w:val="1AA44EB0"/>
    <w:rsid w:val="1AB570BD"/>
    <w:rsid w:val="1ACE4623"/>
    <w:rsid w:val="1B140288"/>
    <w:rsid w:val="1B1C0EEA"/>
    <w:rsid w:val="1B2129A5"/>
    <w:rsid w:val="1B2B55D1"/>
    <w:rsid w:val="1B4B5C73"/>
    <w:rsid w:val="1B6D7998"/>
    <w:rsid w:val="1BA333BA"/>
    <w:rsid w:val="1BA75E36"/>
    <w:rsid w:val="1BBC447B"/>
    <w:rsid w:val="1BCF0653"/>
    <w:rsid w:val="1BD01CD5"/>
    <w:rsid w:val="1C493F61"/>
    <w:rsid w:val="1C4C57FF"/>
    <w:rsid w:val="1C4F3541"/>
    <w:rsid w:val="1C640D9B"/>
    <w:rsid w:val="1CBE5D71"/>
    <w:rsid w:val="1CD31A7D"/>
    <w:rsid w:val="1D0460DA"/>
    <w:rsid w:val="1D1327C1"/>
    <w:rsid w:val="1D2764E1"/>
    <w:rsid w:val="1D552DD9"/>
    <w:rsid w:val="1D6D0123"/>
    <w:rsid w:val="1D886D0B"/>
    <w:rsid w:val="1D970CFC"/>
    <w:rsid w:val="1DD71A40"/>
    <w:rsid w:val="1DD852A4"/>
    <w:rsid w:val="1DE101C9"/>
    <w:rsid w:val="1DE33F41"/>
    <w:rsid w:val="1DFA65D4"/>
    <w:rsid w:val="1E19564F"/>
    <w:rsid w:val="1E2527AC"/>
    <w:rsid w:val="1E3E561C"/>
    <w:rsid w:val="1E7948A6"/>
    <w:rsid w:val="1E911BEF"/>
    <w:rsid w:val="1E984D2C"/>
    <w:rsid w:val="1EA71413"/>
    <w:rsid w:val="1EC73863"/>
    <w:rsid w:val="1EF04B68"/>
    <w:rsid w:val="1EFA3C38"/>
    <w:rsid w:val="1F120F82"/>
    <w:rsid w:val="1F15637C"/>
    <w:rsid w:val="1F1A1BE5"/>
    <w:rsid w:val="1F3031B6"/>
    <w:rsid w:val="1F446C62"/>
    <w:rsid w:val="1F833C2E"/>
    <w:rsid w:val="1FAD6EFF"/>
    <w:rsid w:val="1FBE07C2"/>
    <w:rsid w:val="1FEC17D3"/>
    <w:rsid w:val="200C1F5C"/>
    <w:rsid w:val="202820DF"/>
    <w:rsid w:val="20384A18"/>
    <w:rsid w:val="20542ED4"/>
    <w:rsid w:val="20765541"/>
    <w:rsid w:val="209165D3"/>
    <w:rsid w:val="209D0D1F"/>
    <w:rsid w:val="209D487B"/>
    <w:rsid w:val="20A35C0A"/>
    <w:rsid w:val="20A6041C"/>
    <w:rsid w:val="20AA6F98"/>
    <w:rsid w:val="20E07ADB"/>
    <w:rsid w:val="20FF1092"/>
    <w:rsid w:val="211D776A"/>
    <w:rsid w:val="2120725A"/>
    <w:rsid w:val="213827F6"/>
    <w:rsid w:val="214D44F3"/>
    <w:rsid w:val="21780E44"/>
    <w:rsid w:val="219C0FD7"/>
    <w:rsid w:val="21A734D8"/>
    <w:rsid w:val="21C5052E"/>
    <w:rsid w:val="21D4251F"/>
    <w:rsid w:val="21D7200F"/>
    <w:rsid w:val="21F77FBB"/>
    <w:rsid w:val="221072CF"/>
    <w:rsid w:val="221F7512"/>
    <w:rsid w:val="222A0391"/>
    <w:rsid w:val="222F1E4B"/>
    <w:rsid w:val="22356D36"/>
    <w:rsid w:val="2248703F"/>
    <w:rsid w:val="22590C76"/>
    <w:rsid w:val="225B679C"/>
    <w:rsid w:val="226C09A9"/>
    <w:rsid w:val="22750C92"/>
    <w:rsid w:val="22791318"/>
    <w:rsid w:val="22821F7B"/>
    <w:rsid w:val="22AD4B1E"/>
    <w:rsid w:val="22B10AB2"/>
    <w:rsid w:val="22FF7A6F"/>
    <w:rsid w:val="23045086"/>
    <w:rsid w:val="231828DF"/>
    <w:rsid w:val="231A6657"/>
    <w:rsid w:val="231B23CF"/>
    <w:rsid w:val="232C1EE7"/>
    <w:rsid w:val="235C6C70"/>
    <w:rsid w:val="23B51EDC"/>
    <w:rsid w:val="23C40371"/>
    <w:rsid w:val="23CA40F9"/>
    <w:rsid w:val="23F944BF"/>
    <w:rsid w:val="24134E54"/>
    <w:rsid w:val="241E2177"/>
    <w:rsid w:val="242B03F0"/>
    <w:rsid w:val="24374FE7"/>
    <w:rsid w:val="246456B0"/>
    <w:rsid w:val="247B4ED4"/>
    <w:rsid w:val="24B86BC7"/>
    <w:rsid w:val="24F1163A"/>
    <w:rsid w:val="252E63EA"/>
    <w:rsid w:val="253F4153"/>
    <w:rsid w:val="2572277A"/>
    <w:rsid w:val="258B7398"/>
    <w:rsid w:val="258E0C37"/>
    <w:rsid w:val="25DF76E4"/>
    <w:rsid w:val="26025181"/>
    <w:rsid w:val="261F21D6"/>
    <w:rsid w:val="26234D89"/>
    <w:rsid w:val="263E440B"/>
    <w:rsid w:val="267C13D7"/>
    <w:rsid w:val="269F0C21"/>
    <w:rsid w:val="26C012C4"/>
    <w:rsid w:val="26D842D4"/>
    <w:rsid w:val="26E31456"/>
    <w:rsid w:val="272E26D1"/>
    <w:rsid w:val="273870AC"/>
    <w:rsid w:val="273D46C2"/>
    <w:rsid w:val="274719E5"/>
    <w:rsid w:val="276C144B"/>
    <w:rsid w:val="277327DA"/>
    <w:rsid w:val="279B763B"/>
    <w:rsid w:val="27E2526A"/>
    <w:rsid w:val="27E40FE2"/>
    <w:rsid w:val="27E64D5A"/>
    <w:rsid w:val="27FF5E1C"/>
    <w:rsid w:val="28185CCE"/>
    <w:rsid w:val="28355CE1"/>
    <w:rsid w:val="28373807"/>
    <w:rsid w:val="28500425"/>
    <w:rsid w:val="287E31E4"/>
    <w:rsid w:val="287E4F92"/>
    <w:rsid w:val="28812CD5"/>
    <w:rsid w:val="2886653D"/>
    <w:rsid w:val="28916697"/>
    <w:rsid w:val="289522DC"/>
    <w:rsid w:val="28C3796E"/>
    <w:rsid w:val="28CF06A1"/>
    <w:rsid w:val="28E15521"/>
    <w:rsid w:val="28E3573D"/>
    <w:rsid w:val="28F17E5A"/>
    <w:rsid w:val="28F80B30"/>
    <w:rsid w:val="291476A5"/>
    <w:rsid w:val="291D29FD"/>
    <w:rsid w:val="291E0523"/>
    <w:rsid w:val="29494952"/>
    <w:rsid w:val="295D729E"/>
    <w:rsid w:val="297812BE"/>
    <w:rsid w:val="299D769A"/>
    <w:rsid w:val="29A14838"/>
    <w:rsid w:val="29A22F02"/>
    <w:rsid w:val="29B175E9"/>
    <w:rsid w:val="29B449E4"/>
    <w:rsid w:val="29D60DFE"/>
    <w:rsid w:val="29E65E68"/>
    <w:rsid w:val="2A1D4C7F"/>
    <w:rsid w:val="2A68414C"/>
    <w:rsid w:val="2A6B1546"/>
    <w:rsid w:val="2A726D79"/>
    <w:rsid w:val="2AA66A22"/>
    <w:rsid w:val="2ADF3CE2"/>
    <w:rsid w:val="2B204A27"/>
    <w:rsid w:val="2B6A3EF4"/>
    <w:rsid w:val="2BA54F2C"/>
    <w:rsid w:val="2BAA42F0"/>
    <w:rsid w:val="2BBE7D9C"/>
    <w:rsid w:val="2BD355F5"/>
    <w:rsid w:val="2BE55328"/>
    <w:rsid w:val="2BEC2B5B"/>
    <w:rsid w:val="2BF11F1F"/>
    <w:rsid w:val="2C071743"/>
    <w:rsid w:val="2C3A1B18"/>
    <w:rsid w:val="2C567FD4"/>
    <w:rsid w:val="2C783A9D"/>
    <w:rsid w:val="2C844B41"/>
    <w:rsid w:val="2C8763E0"/>
    <w:rsid w:val="2C8965FC"/>
    <w:rsid w:val="2CEE0760"/>
    <w:rsid w:val="2D031F0A"/>
    <w:rsid w:val="2D3E1194"/>
    <w:rsid w:val="2D8E211C"/>
    <w:rsid w:val="2DF83A39"/>
    <w:rsid w:val="2E0F2B31"/>
    <w:rsid w:val="2E13617D"/>
    <w:rsid w:val="2E310CF9"/>
    <w:rsid w:val="2E4427DA"/>
    <w:rsid w:val="2E552C39"/>
    <w:rsid w:val="2E5A0250"/>
    <w:rsid w:val="2E775838"/>
    <w:rsid w:val="2E921798"/>
    <w:rsid w:val="2EA8720D"/>
    <w:rsid w:val="2EC851B9"/>
    <w:rsid w:val="2F124686"/>
    <w:rsid w:val="2F261EE0"/>
    <w:rsid w:val="2F4862FA"/>
    <w:rsid w:val="2F6D3FB3"/>
    <w:rsid w:val="2F7A423F"/>
    <w:rsid w:val="2F7B66D0"/>
    <w:rsid w:val="2F8D6403"/>
    <w:rsid w:val="2FB219C5"/>
    <w:rsid w:val="2FFB336C"/>
    <w:rsid w:val="302428C3"/>
    <w:rsid w:val="30326609"/>
    <w:rsid w:val="30470360"/>
    <w:rsid w:val="30550CCF"/>
    <w:rsid w:val="30586A11"/>
    <w:rsid w:val="306E1D90"/>
    <w:rsid w:val="30A43A04"/>
    <w:rsid w:val="30B73737"/>
    <w:rsid w:val="30DA11D4"/>
    <w:rsid w:val="311F308B"/>
    <w:rsid w:val="312468F3"/>
    <w:rsid w:val="31305298"/>
    <w:rsid w:val="313B5C41"/>
    <w:rsid w:val="31436D79"/>
    <w:rsid w:val="315C608D"/>
    <w:rsid w:val="315C7E3B"/>
    <w:rsid w:val="316A69FC"/>
    <w:rsid w:val="317038E6"/>
    <w:rsid w:val="31943A79"/>
    <w:rsid w:val="319E48F7"/>
    <w:rsid w:val="31B5579D"/>
    <w:rsid w:val="31C003CA"/>
    <w:rsid w:val="31D64091"/>
    <w:rsid w:val="31F12C79"/>
    <w:rsid w:val="31F2079F"/>
    <w:rsid w:val="32127889"/>
    <w:rsid w:val="32180206"/>
    <w:rsid w:val="321F34EA"/>
    <w:rsid w:val="3220355E"/>
    <w:rsid w:val="32244DFC"/>
    <w:rsid w:val="32286055"/>
    <w:rsid w:val="323112C7"/>
    <w:rsid w:val="32356A97"/>
    <w:rsid w:val="324F5BF1"/>
    <w:rsid w:val="32870003"/>
    <w:rsid w:val="328A09D8"/>
    <w:rsid w:val="32AF043E"/>
    <w:rsid w:val="32B1065A"/>
    <w:rsid w:val="32B85545"/>
    <w:rsid w:val="32FA790B"/>
    <w:rsid w:val="33114C55"/>
    <w:rsid w:val="3312392D"/>
    <w:rsid w:val="33240E2C"/>
    <w:rsid w:val="332E5807"/>
    <w:rsid w:val="334D2131"/>
    <w:rsid w:val="3355548A"/>
    <w:rsid w:val="339E298D"/>
    <w:rsid w:val="33E505BB"/>
    <w:rsid w:val="34076784"/>
    <w:rsid w:val="341D7D55"/>
    <w:rsid w:val="341E3ACD"/>
    <w:rsid w:val="341E587B"/>
    <w:rsid w:val="343B01DB"/>
    <w:rsid w:val="344C4197"/>
    <w:rsid w:val="34637732"/>
    <w:rsid w:val="34733E19"/>
    <w:rsid w:val="34802092"/>
    <w:rsid w:val="349D49F2"/>
    <w:rsid w:val="34B955A4"/>
    <w:rsid w:val="34BD5094"/>
    <w:rsid w:val="34D10B40"/>
    <w:rsid w:val="34F82570"/>
    <w:rsid w:val="350E769E"/>
    <w:rsid w:val="351D5B33"/>
    <w:rsid w:val="355A0B35"/>
    <w:rsid w:val="359009FB"/>
    <w:rsid w:val="35926521"/>
    <w:rsid w:val="359C134D"/>
    <w:rsid w:val="35B26BCC"/>
    <w:rsid w:val="35BC70FA"/>
    <w:rsid w:val="35E52AF5"/>
    <w:rsid w:val="360F3492"/>
    <w:rsid w:val="360F36CE"/>
    <w:rsid w:val="361433DA"/>
    <w:rsid w:val="362F5B1E"/>
    <w:rsid w:val="36321AB2"/>
    <w:rsid w:val="364D41F6"/>
    <w:rsid w:val="36624145"/>
    <w:rsid w:val="366A124C"/>
    <w:rsid w:val="366A2FFA"/>
    <w:rsid w:val="367479D5"/>
    <w:rsid w:val="367F4CF7"/>
    <w:rsid w:val="368340BC"/>
    <w:rsid w:val="36B50719"/>
    <w:rsid w:val="36C22E36"/>
    <w:rsid w:val="36E763F9"/>
    <w:rsid w:val="36EE3C2B"/>
    <w:rsid w:val="37060F75"/>
    <w:rsid w:val="371371EE"/>
    <w:rsid w:val="37537F32"/>
    <w:rsid w:val="375515B4"/>
    <w:rsid w:val="37702892"/>
    <w:rsid w:val="3776777C"/>
    <w:rsid w:val="37887BDC"/>
    <w:rsid w:val="37A10C9D"/>
    <w:rsid w:val="37CB7AC8"/>
    <w:rsid w:val="37E90C3B"/>
    <w:rsid w:val="38190834"/>
    <w:rsid w:val="3836588A"/>
    <w:rsid w:val="383A69FC"/>
    <w:rsid w:val="384358B1"/>
    <w:rsid w:val="38482EC7"/>
    <w:rsid w:val="385B0E4C"/>
    <w:rsid w:val="38657F1D"/>
    <w:rsid w:val="38991974"/>
    <w:rsid w:val="38E57781"/>
    <w:rsid w:val="38F17A02"/>
    <w:rsid w:val="3902751A"/>
    <w:rsid w:val="394713D0"/>
    <w:rsid w:val="39475874"/>
    <w:rsid w:val="394E6C03"/>
    <w:rsid w:val="39563D17"/>
    <w:rsid w:val="395A55A8"/>
    <w:rsid w:val="39783C80"/>
    <w:rsid w:val="39882115"/>
    <w:rsid w:val="398B750F"/>
    <w:rsid w:val="398E5251"/>
    <w:rsid w:val="39A71E6F"/>
    <w:rsid w:val="39A95BE7"/>
    <w:rsid w:val="39B27192"/>
    <w:rsid w:val="39C762B0"/>
    <w:rsid w:val="39C90037"/>
    <w:rsid w:val="39DF785B"/>
    <w:rsid w:val="39E906DA"/>
    <w:rsid w:val="39FA6443"/>
    <w:rsid w:val="3A294033"/>
    <w:rsid w:val="3A331955"/>
    <w:rsid w:val="3A347BA7"/>
    <w:rsid w:val="3A6D130B"/>
    <w:rsid w:val="3A8F1281"/>
    <w:rsid w:val="3AA7481D"/>
    <w:rsid w:val="3AC0143A"/>
    <w:rsid w:val="3ACA22B9"/>
    <w:rsid w:val="3ACD3B57"/>
    <w:rsid w:val="3AF9494C"/>
    <w:rsid w:val="3B0D0B61"/>
    <w:rsid w:val="3B0E03F8"/>
    <w:rsid w:val="3B190B4B"/>
    <w:rsid w:val="3B1A3241"/>
    <w:rsid w:val="3B20012B"/>
    <w:rsid w:val="3B4474A0"/>
    <w:rsid w:val="3B451940"/>
    <w:rsid w:val="3B912DD7"/>
    <w:rsid w:val="3B9F54F4"/>
    <w:rsid w:val="3BA23236"/>
    <w:rsid w:val="3BA7084C"/>
    <w:rsid w:val="3BB0325D"/>
    <w:rsid w:val="3BF70E8C"/>
    <w:rsid w:val="3C123F18"/>
    <w:rsid w:val="3C1C6B44"/>
    <w:rsid w:val="3C243C4B"/>
    <w:rsid w:val="3C3420E0"/>
    <w:rsid w:val="3C3814A4"/>
    <w:rsid w:val="3C695E4A"/>
    <w:rsid w:val="3C917532"/>
    <w:rsid w:val="3CA408E8"/>
    <w:rsid w:val="3CB163D2"/>
    <w:rsid w:val="3CC316B6"/>
    <w:rsid w:val="3CD13DD3"/>
    <w:rsid w:val="3CEA09F1"/>
    <w:rsid w:val="3D0715A3"/>
    <w:rsid w:val="3D09356D"/>
    <w:rsid w:val="3D141F11"/>
    <w:rsid w:val="3D202664"/>
    <w:rsid w:val="3D4F6AA6"/>
    <w:rsid w:val="3D597924"/>
    <w:rsid w:val="3D943D3A"/>
    <w:rsid w:val="3DA74B34"/>
    <w:rsid w:val="3DA768E2"/>
    <w:rsid w:val="3DB8289D"/>
    <w:rsid w:val="3DC01751"/>
    <w:rsid w:val="3DD84CED"/>
    <w:rsid w:val="3DF5764D"/>
    <w:rsid w:val="3E241CE0"/>
    <w:rsid w:val="3E5D51F2"/>
    <w:rsid w:val="3E726EF0"/>
    <w:rsid w:val="3E8B6203"/>
    <w:rsid w:val="3E8E35FE"/>
    <w:rsid w:val="3E921340"/>
    <w:rsid w:val="3EBC63BD"/>
    <w:rsid w:val="3EDE27D7"/>
    <w:rsid w:val="3EEF0540"/>
    <w:rsid w:val="3EFE4C27"/>
    <w:rsid w:val="3F0D09C6"/>
    <w:rsid w:val="3F171845"/>
    <w:rsid w:val="3F255D10"/>
    <w:rsid w:val="3F397A0D"/>
    <w:rsid w:val="3F67457A"/>
    <w:rsid w:val="3F966C0E"/>
    <w:rsid w:val="3FC27A03"/>
    <w:rsid w:val="3FC76DC7"/>
    <w:rsid w:val="3FCB2D5B"/>
    <w:rsid w:val="3FFF2A05"/>
    <w:rsid w:val="406311E6"/>
    <w:rsid w:val="407451A1"/>
    <w:rsid w:val="40890521"/>
    <w:rsid w:val="409018AF"/>
    <w:rsid w:val="40AE7C64"/>
    <w:rsid w:val="40B51210"/>
    <w:rsid w:val="40BA4B7E"/>
    <w:rsid w:val="40C81049"/>
    <w:rsid w:val="40CD2B03"/>
    <w:rsid w:val="410858E9"/>
    <w:rsid w:val="410B53D9"/>
    <w:rsid w:val="410D1152"/>
    <w:rsid w:val="412546ED"/>
    <w:rsid w:val="41263FC1"/>
    <w:rsid w:val="415E19AD"/>
    <w:rsid w:val="416A2100"/>
    <w:rsid w:val="41AC096A"/>
    <w:rsid w:val="41B65345"/>
    <w:rsid w:val="41E06866"/>
    <w:rsid w:val="41FB71FC"/>
    <w:rsid w:val="420C1409"/>
    <w:rsid w:val="421A58D4"/>
    <w:rsid w:val="423746D8"/>
    <w:rsid w:val="423F358D"/>
    <w:rsid w:val="42415557"/>
    <w:rsid w:val="42530DE6"/>
    <w:rsid w:val="426E79CE"/>
    <w:rsid w:val="42703746"/>
    <w:rsid w:val="4278084D"/>
    <w:rsid w:val="427B0889"/>
    <w:rsid w:val="427F1BDB"/>
    <w:rsid w:val="42903DE8"/>
    <w:rsid w:val="42A653BA"/>
    <w:rsid w:val="42B75819"/>
    <w:rsid w:val="42C910A8"/>
    <w:rsid w:val="42D00689"/>
    <w:rsid w:val="42D9578F"/>
    <w:rsid w:val="42DF267A"/>
    <w:rsid w:val="430345BA"/>
    <w:rsid w:val="430D368B"/>
    <w:rsid w:val="43486471"/>
    <w:rsid w:val="435E7A42"/>
    <w:rsid w:val="43657023"/>
    <w:rsid w:val="43A63197"/>
    <w:rsid w:val="43B458B4"/>
    <w:rsid w:val="43BC29BB"/>
    <w:rsid w:val="43C97F97"/>
    <w:rsid w:val="43CD6976"/>
    <w:rsid w:val="440F51E1"/>
    <w:rsid w:val="441F5424"/>
    <w:rsid w:val="442567B2"/>
    <w:rsid w:val="442C5D93"/>
    <w:rsid w:val="4436276D"/>
    <w:rsid w:val="44623562"/>
    <w:rsid w:val="44956565"/>
    <w:rsid w:val="44A45929"/>
    <w:rsid w:val="44B813D4"/>
    <w:rsid w:val="44C9118C"/>
    <w:rsid w:val="44FF7003"/>
    <w:rsid w:val="45132AAF"/>
    <w:rsid w:val="455C4456"/>
    <w:rsid w:val="45806396"/>
    <w:rsid w:val="45813EBC"/>
    <w:rsid w:val="459040FF"/>
    <w:rsid w:val="45921C25"/>
    <w:rsid w:val="45991206"/>
    <w:rsid w:val="459C2AA4"/>
    <w:rsid w:val="45A51959"/>
    <w:rsid w:val="45B30F11"/>
    <w:rsid w:val="45B95404"/>
    <w:rsid w:val="45D67D64"/>
    <w:rsid w:val="45E05087"/>
    <w:rsid w:val="45F36B68"/>
    <w:rsid w:val="45F465A2"/>
    <w:rsid w:val="461152FD"/>
    <w:rsid w:val="465A0995"/>
    <w:rsid w:val="466E0628"/>
    <w:rsid w:val="4674757D"/>
    <w:rsid w:val="46965D88"/>
    <w:rsid w:val="46A75BA4"/>
    <w:rsid w:val="46B75DE7"/>
    <w:rsid w:val="46F10BCE"/>
    <w:rsid w:val="471F573B"/>
    <w:rsid w:val="47490A0A"/>
    <w:rsid w:val="47523D62"/>
    <w:rsid w:val="47655843"/>
    <w:rsid w:val="47941C85"/>
    <w:rsid w:val="479E6FA7"/>
    <w:rsid w:val="47DC362C"/>
    <w:rsid w:val="47E250E6"/>
    <w:rsid w:val="47E66F7E"/>
    <w:rsid w:val="47E86474"/>
    <w:rsid w:val="48082673"/>
    <w:rsid w:val="482E20D9"/>
    <w:rsid w:val="486C49B0"/>
    <w:rsid w:val="487D4E0F"/>
    <w:rsid w:val="488F069E"/>
    <w:rsid w:val="489B7043"/>
    <w:rsid w:val="48B819A3"/>
    <w:rsid w:val="48BF71D5"/>
    <w:rsid w:val="48D34A2F"/>
    <w:rsid w:val="48F86243"/>
    <w:rsid w:val="48FA020D"/>
    <w:rsid w:val="491D5CAA"/>
    <w:rsid w:val="4948541D"/>
    <w:rsid w:val="49B26D3A"/>
    <w:rsid w:val="49E14F29"/>
    <w:rsid w:val="49FE5ADB"/>
    <w:rsid w:val="4A070E34"/>
    <w:rsid w:val="4A183041"/>
    <w:rsid w:val="4A2A68D0"/>
    <w:rsid w:val="4A8204BA"/>
    <w:rsid w:val="4A857FAB"/>
    <w:rsid w:val="4A8E6E5F"/>
    <w:rsid w:val="4AA246B9"/>
    <w:rsid w:val="4AA77F21"/>
    <w:rsid w:val="4AC72371"/>
    <w:rsid w:val="4ACC3E2B"/>
    <w:rsid w:val="4AE41175"/>
    <w:rsid w:val="4AEE5B50"/>
    <w:rsid w:val="4B223A4B"/>
    <w:rsid w:val="4B26353C"/>
    <w:rsid w:val="4B6B53F2"/>
    <w:rsid w:val="4B8244EA"/>
    <w:rsid w:val="4B897627"/>
    <w:rsid w:val="4B985ABC"/>
    <w:rsid w:val="4B991F60"/>
    <w:rsid w:val="4BBA0128"/>
    <w:rsid w:val="4BCE772F"/>
    <w:rsid w:val="4BDC3BFA"/>
    <w:rsid w:val="4BE45514"/>
    <w:rsid w:val="4BEA4569"/>
    <w:rsid w:val="4C15710C"/>
    <w:rsid w:val="4C211691"/>
    <w:rsid w:val="4C336CAF"/>
    <w:rsid w:val="4C516396"/>
    <w:rsid w:val="4C5E6D05"/>
    <w:rsid w:val="4C7107E7"/>
    <w:rsid w:val="4C83051A"/>
    <w:rsid w:val="4C856040"/>
    <w:rsid w:val="4C8F6EBF"/>
    <w:rsid w:val="4C96024D"/>
    <w:rsid w:val="4C995F8F"/>
    <w:rsid w:val="4CA54934"/>
    <w:rsid w:val="4CB66B41"/>
    <w:rsid w:val="4CCB4162"/>
    <w:rsid w:val="4CE03BBE"/>
    <w:rsid w:val="4D007DBC"/>
    <w:rsid w:val="4D3D2DBF"/>
    <w:rsid w:val="4D3F6B37"/>
    <w:rsid w:val="4D7F33D7"/>
    <w:rsid w:val="4D7F6F33"/>
    <w:rsid w:val="4D8602C2"/>
    <w:rsid w:val="4DBF5582"/>
    <w:rsid w:val="4DC96400"/>
    <w:rsid w:val="4DCD5EF0"/>
    <w:rsid w:val="4DD252B5"/>
    <w:rsid w:val="4E015B9A"/>
    <w:rsid w:val="4E261AA5"/>
    <w:rsid w:val="4E281379"/>
    <w:rsid w:val="4E2875CB"/>
    <w:rsid w:val="4E676345"/>
    <w:rsid w:val="4E6B1D97"/>
    <w:rsid w:val="4E720846"/>
    <w:rsid w:val="4E7633EA"/>
    <w:rsid w:val="4E772300"/>
    <w:rsid w:val="4E791BD4"/>
    <w:rsid w:val="4E8C7B5A"/>
    <w:rsid w:val="4E9133C2"/>
    <w:rsid w:val="4E9407BC"/>
    <w:rsid w:val="4EA529C9"/>
    <w:rsid w:val="4EAF55F6"/>
    <w:rsid w:val="4EBD41B7"/>
    <w:rsid w:val="4EDB63EB"/>
    <w:rsid w:val="4EE47996"/>
    <w:rsid w:val="4EED611E"/>
    <w:rsid w:val="4EF70D4B"/>
    <w:rsid w:val="4F1D07B2"/>
    <w:rsid w:val="4F271630"/>
    <w:rsid w:val="4F416B96"/>
    <w:rsid w:val="4FA113E3"/>
    <w:rsid w:val="4FB37368"/>
    <w:rsid w:val="4FB530E0"/>
    <w:rsid w:val="4FE319FB"/>
    <w:rsid w:val="4FEB4D54"/>
    <w:rsid w:val="4FF05EC6"/>
    <w:rsid w:val="4FFE4A87"/>
    <w:rsid w:val="500656EA"/>
    <w:rsid w:val="501C315F"/>
    <w:rsid w:val="503E30D6"/>
    <w:rsid w:val="505731E7"/>
    <w:rsid w:val="50760AC1"/>
    <w:rsid w:val="50A15412"/>
    <w:rsid w:val="50A76ECD"/>
    <w:rsid w:val="50B138A7"/>
    <w:rsid w:val="51130DF6"/>
    <w:rsid w:val="511B6F73"/>
    <w:rsid w:val="51510BE7"/>
    <w:rsid w:val="51646B6C"/>
    <w:rsid w:val="517F5754"/>
    <w:rsid w:val="517F7502"/>
    <w:rsid w:val="519A433C"/>
    <w:rsid w:val="51BC69A8"/>
    <w:rsid w:val="51BD44CE"/>
    <w:rsid w:val="51CE66DB"/>
    <w:rsid w:val="51DC4954"/>
    <w:rsid w:val="525564B4"/>
    <w:rsid w:val="5257222D"/>
    <w:rsid w:val="52754DA9"/>
    <w:rsid w:val="528D5C4E"/>
    <w:rsid w:val="52B256B5"/>
    <w:rsid w:val="52C553E8"/>
    <w:rsid w:val="52E141EC"/>
    <w:rsid w:val="52FC4B82"/>
    <w:rsid w:val="52FE08FA"/>
    <w:rsid w:val="530103EA"/>
    <w:rsid w:val="531B5950"/>
    <w:rsid w:val="534529CD"/>
    <w:rsid w:val="534E7AD3"/>
    <w:rsid w:val="53671FD0"/>
    <w:rsid w:val="5371731E"/>
    <w:rsid w:val="5391176E"/>
    <w:rsid w:val="53C27B7A"/>
    <w:rsid w:val="53CE29C2"/>
    <w:rsid w:val="53DA3115"/>
    <w:rsid w:val="53F00B8B"/>
    <w:rsid w:val="53F341D7"/>
    <w:rsid w:val="54364990"/>
    <w:rsid w:val="548B08B3"/>
    <w:rsid w:val="548E5C72"/>
    <w:rsid w:val="549A0AF6"/>
    <w:rsid w:val="549C03CB"/>
    <w:rsid w:val="54AA0D3A"/>
    <w:rsid w:val="54AB5F5C"/>
    <w:rsid w:val="54B43966"/>
    <w:rsid w:val="54D67D81"/>
    <w:rsid w:val="54DC110F"/>
    <w:rsid w:val="54DC2EBD"/>
    <w:rsid w:val="55482300"/>
    <w:rsid w:val="554867E0"/>
    <w:rsid w:val="55603AEE"/>
    <w:rsid w:val="55733821"/>
    <w:rsid w:val="55AA4D69"/>
    <w:rsid w:val="55C67DF5"/>
    <w:rsid w:val="55D87FDF"/>
    <w:rsid w:val="55DB4F23"/>
    <w:rsid w:val="55FB55C5"/>
    <w:rsid w:val="56272D71"/>
    <w:rsid w:val="562B7C58"/>
    <w:rsid w:val="56737851"/>
    <w:rsid w:val="569A4DDE"/>
    <w:rsid w:val="569E48CE"/>
    <w:rsid w:val="56BF65F2"/>
    <w:rsid w:val="57174680"/>
    <w:rsid w:val="571C3A45"/>
    <w:rsid w:val="57437223"/>
    <w:rsid w:val="57832C8E"/>
    <w:rsid w:val="57877110"/>
    <w:rsid w:val="5790360C"/>
    <w:rsid w:val="57B23CF9"/>
    <w:rsid w:val="57B7551B"/>
    <w:rsid w:val="57CC546B"/>
    <w:rsid w:val="57D04F5B"/>
    <w:rsid w:val="57E427B4"/>
    <w:rsid w:val="57FC41E7"/>
    <w:rsid w:val="580C3AB9"/>
    <w:rsid w:val="581A61D6"/>
    <w:rsid w:val="582232DD"/>
    <w:rsid w:val="582E57DE"/>
    <w:rsid w:val="583D0117"/>
    <w:rsid w:val="584B2834"/>
    <w:rsid w:val="585F1E3B"/>
    <w:rsid w:val="587A0A23"/>
    <w:rsid w:val="58AB0DF7"/>
    <w:rsid w:val="58BD4DB3"/>
    <w:rsid w:val="58DF2304"/>
    <w:rsid w:val="590649AC"/>
    <w:rsid w:val="590C382F"/>
    <w:rsid w:val="591250FF"/>
    <w:rsid w:val="591945BB"/>
    <w:rsid w:val="59257894"/>
    <w:rsid w:val="596A4F3B"/>
    <w:rsid w:val="596D0588"/>
    <w:rsid w:val="59771406"/>
    <w:rsid w:val="59A10231"/>
    <w:rsid w:val="59CF2FF0"/>
    <w:rsid w:val="59D10B16"/>
    <w:rsid w:val="59DE3233"/>
    <w:rsid w:val="59DE4FE1"/>
    <w:rsid w:val="59E313BD"/>
    <w:rsid w:val="5A010C64"/>
    <w:rsid w:val="5A1629CD"/>
    <w:rsid w:val="5A2E41BB"/>
    <w:rsid w:val="5A2E7D17"/>
    <w:rsid w:val="5A355549"/>
    <w:rsid w:val="5A4237C2"/>
    <w:rsid w:val="5A584D94"/>
    <w:rsid w:val="5ABD72ED"/>
    <w:rsid w:val="5AC468CD"/>
    <w:rsid w:val="5AE44879"/>
    <w:rsid w:val="5AE605F2"/>
    <w:rsid w:val="5B0D5B7E"/>
    <w:rsid w:val="5B16597E"/>
    <w:rsid w:val="5B266C40"/>
    <w:rsid w:val="5B6B6D49"/>
    <w:rsid w:val="5B8F2A37"/>
    <w:rsid w:val="5BBE156E"/>
    <w:rsid w:val="5BC4220D"/>
    <w:rsid w:val="5BCF552A"/>
    <w:rsid w:val="5BD112A2"/>
    <w:rsid w:val="5BDE39BF"/>
    <w:rsid w:val="5BF07D9A"/>
    <w:rsid w:val="5BF1296B"/>
    <w:rsid w:val="5C07081F"/>
    <w:rsid w:val="5C2F7D76"/>
    <w:rsid w:val="5C381321"/>
    <w:rsid w:val="5C642116"/>
    <w:rsid w:val="5CB85FBE"/>
    <w:rsid w:val="5CBA7F88"/>
    <w:rsid w:val="5CC20BEA"/>
    <w:rsid w:val="5CD34BA6"/>
    <w:rsid w:val="5CDF354A"/>
    <w:rsid w:val="5CE46DB3"/>
    <w:rsid w:val="5D027239"/>
    <w:rsid w:val="5D0E2082"/>
    <w:rsid w:val="5D3E2967"/>
    <w:rsid w:val="5D535CE6"/>
    <w:rsid w:val="5D5932FD"/>
    <w:rsid w:val="5D6677C8"/>
    <w:rsid w:val="5D900CE9"/>
    <w:rsid w:val="5DA30A1C"/>
    <w:rsid w:val="5DE352BC"/>
    <w:rsid w:val="5E091947"/>
    <w:rsid w:val="5E0C4813"/>
    <w:rsid w:val="5E0D40E7"/>
    <w:rsid w:val="5E2B7EEF"/>
    <w:rsid w:val="5E435D5B"/>
    <w:rsid w:val="5E5E2B95"/>
    <w:rsid w:val="5E8C325E"/>
    <w:rsid w:val="5E9071F2"/>
    <w:rsid w:val="5E940365"/>
    <w:rsid w:val="5E9860A7"/>
    <w:rsid w:val="5EA20CD3"/>
    <w:rsid w:val="5EB01642"/>
    <w:rsid w:val="5ECB022A"/>
    <w:rsid w:val="5ED510A9"/>
    <w:rsid w:val="5F3A53B0"/>
    <w:rsid w:val="5F3C4C84"/>
    <w:rsid w:val="5F5A335C"/>
    <w:rsid w:val="5F692B8D"/>
    <w:rsid w:val="5F7F7267"/>
    <w:rsid w:val="5F8403D9"/>
    <w:rsid w:val="5F893C41"/>
    <w:rsid w:val="5FA34D03"/>
    <w:rsid w:val="5FC92290"/>
    <w:rsid w:val="5FDA3625"/>
    <w:rsid w:val="5FDC0215"/>
    <w:rsid w:val="6008725C"/>
    <w:rsid w:val="60285208"/>
    <w:rsid w:val="60327E35"/>
    <w:rsid w:val="6042276E"/>
    <w:rsid w:val="604A517F"/>
    <w:rsid w:val="604C7149"/>
    <w:rsid w:val="605204D7"/>
    <w:rsid w:val="60A96349"/>
    <w:rsid w:val="60D40EEC"/>
    <w:rsid w:val="60F375C4"/>
    <w:rsid w:val="61073070"/>
    <w:rsid w:val="611063C8"/>
    <w:rsid w:val="611F03B9"/>
    <w:rsid w:val="612B1454"/>
    <w:rsid w:val="612C2AD6"/>
    <w:rsid w:val="613D1187"/>
    <w:rsid w:val="61483DB4"/>
    <w:rsid w:val="614D13CA"/>
    <w:rsid w:val="61534507"/>
    <w:rsid w:val="615A5895"/>
    <w:rsid w:val="616B35FF"/>
    <w:rsid w:val="617526CF"/>
    <w:rsid w:val="61826B9A"/>
    <w:rsid w:val="619568CD"/>
    <w:rsid w:val="61A46B11"/>
    <w:rsid w:val="61B431F8"/>
    <w:rsid w:val="620D73CB"/>
    <w:rsid w:val="6220088D"/>
    <w:rsid w:val="6220263B"/>
    <w:rsid w:val="622A34BA"/>
    <w:rsid w:val="622B0FE0"/>
    <w:rsid w:val="62353C0D"/>
    <w:rsid w:val="623E0D13"/>
    <w:rsid w:val="624B51DE"/>
    <w:rsid w:val="624E5AC5"/>
    <w:rsid w:val="627110E9"/>
    <w:rsid w:val="62791D4B"/>
    <w:rsid w:val="6283706E"/>
    <w:rsid w:val="628A21AA"/>
    <w:rsid w:val="628E1C9B"/>
    <w:rsid w:val="6291178B"/>
    <w:rsid w:val="629848C7"/>
    <w:rsid w:val="62AF39BF"/>
    <w:rsid w:val="62BE3C02"/>
    <w:rsid w:val="62C7367F"/>
    <w:rsid w:val="62C84A81"/>
    <w:rsid w:val="62D43425"/>
    <w:rsid w:val="62DF24F6"/>
    <w:rsid w:val="62E93375"/>
    <w:rsid w:val="62FD472A"/>
    <w:rsid w:val="630C0E11"/>
    <w:rsid w:val="6311467A"/>
    <w:rsid w:val="631D301E"/>
    <w:rsid w:val="632048BD"/>
    <w:rsid w:val="632C14B3"/>
    <w:rsid w:val="63310878"/>
    <w:rsid w:val="6333639E"/>
    <w:rsid w:val="633B5253"/>
    <w:rsid w:val="636C18B0"/>
    <w:rsid w:val="637075F2"/>
    <w:rsid w:val="637D3ABD"/>
    <w:rsid w:val="6388493C"/>
    <w:rsid w:val="63901A42"/>
    <w:rsid w:val="63A16619"/>
    <w:rsid w:val="63B219B9"/>
    <w:rsid w:val="63C82F8A"/>
    <w:rsid w:val="63D538F9"/>
    <w:rsid w:val="63D80CF3"/>
    <w:rsid w:val="63DD4EBA"/>
    <w:rsid w:val="63E94CAF"/>
    <w:rsid w:val="640D3093"/>
    <w:rsid w:val="641F6922"/>
    <w:rsid w:val="64245D37"/>
    <w:rsid w:val="646F78AA"/>
    <w:rsid w:val="64744EC0"/>
    <w:rsid w:val="649015CE"/>
    <w:rsid w:val="64DE058B"/>
    <w:rsid w:val="65085608"/>
    <w:rsid w:val="65167D25"/>
    <w:rsid w:val="65273CE0"/>
    <w:rsid w:val="652F2B95"/>
    <w:rsid w:val="653603C7"/>
    <w:rsid w:val="65491EA9"/>
    <w:rsid w:val="65685EB4"/>
    <w:rsid w:val="65711400"/>
    <w:rsid w:val="65876E75"/>
    <w:rsid w:val="65A417D5"/>
    <w:rsid w:val="65AD68DC"/>
    <w:rsid w:val="65BB267B"/>
    <w:rsid w:val="65D26342"/>
    <w:rsid w:val="65F04A1A"/>
    <w:rsid w:val="66081D64"/>
    <w:rsid w:val="66091638"/>
    <w:rsid w:val="661F70AE"/>
    <w:rsid w:val="66216982"/>
    <w:rsid w:val="66342B59"/>
    <w:rsid w:val="6639016F"/>
    <w:rsid w:val="66540B05"/>
    <w:rsid w:val="667016B7"/>
    <w:rsid w:val="66846F11"/>
    <w:rsid w:val="66911D59"/>
    <w:rsid w:val="66AB26EF"/>
    <w:rsid w:val="66BB0B84"/>
    <w:rsid w:val="66C30D22"/>
    <w:rsid w:val="66C67529"/>
    <w:rsid w:val="66DB4D83"/>
    <w:rsid w:val="672F50CE"/>
    <w:rsid w:val="6764121C"/>
    <w:rsid w:val="676905E0"/>
    <w:rsid w:val="676A36E6"/>
    <w:rsid w:val="679118E5"/>
    <w:rsid w:val="67A45ABC"/>
    <w:rsid w:val="67B657F0"/>
    <w:rsid w:val="67FD6F7B"/>
    <w:rsid w:val="682B3AE8"/>
    <w:rsid w:val="6853303E"/>
    <w:rsid w:val="68534DEC"/>
    <w:rsid w:val="68570D81"/>
    <w:rsid w:val="686B65DA"/>
    <w:rsid w:val="6873723D"/>
    <w:rsid w:val="689E69AF"/>
    <w:rsid w:val="68A815DC"/>
    <w:rsid w:val="68AF64C7"/>
    <w:rsid w:val="68BC5EB7"/>
    <w:rsid w:val="68C31F72"/>
    <w:rsid w:val="690C1B6B"/>
    <w:rsid w:val="69272501"/>
    <w:rsid w:val="6949691B"/>
    <w:rsid w:val="69564B94"/>
    <w:rsid w:val="696A0640"/>
    <w:rsid w:val="696C43B8"/>
    <w:rsid w:val="698B1703"/>
    <w:rsid w:val="69AE677E"/>
    <w:rsid w:val="69BF6BDD"/>
    <w:rsid w:val="69D65CD5"/>
    <w:rsid w:val="69E2467A"/>
    <w:rsid w:val="69E95A08"/>
    <w:rsid w:val="6A10568B"/>
    <w:rsid w:val="6A164324"/>
    <w:rsid w:val="6A2152D6"/>
    <w:rsid w:val="6A3550F2"/>
    <w:rsid w:val="6A3D5D54"/>
    <w:rsid w:val="6A3D7B02"/>
    <w:rsid w:val="6A3F387A"/>
    <w:rsid w:val="6A5A06B4"/>
    <w:rsid w:val="6A5E63F6"/>
    <w:rsid w:val="6A721EA2"/>
    <w:rsid w:val="6A7A2B04"/>
    <w:rsid w:val="6A890F99"/>
    <w:rsid w:val="6A8B2F63"/>
    <w:rsid w:val="6AA54025"/>
    <w:rsid w:val="6AAB53B4"/>
    <w:rsid w:val="6AC56475"/>
    <w:rsid w:val="6B0D5727"/>
    <w:rsid w:val="6B1765A5"/>
    <w:rsid w:val="6B19231D"/>
    <w:rsid w:val="6B362ECF"/>
    <w:rsid w:val="6B460C38"/>
    <w:rsid w:val="6B735ED1"/>
    <w:rsid w:val="6B8C6F93"/>
    <w:rsid w:val="6B9F6CC6"/>
    <w:rsid w:val="6BAC5115"/>
    <w:rsid w:val="6BB107A8"/>
    <w:rsid w:val="6BBA3B00"/>
    <w:rsid w:val="6BBB5183"/>
    <w:rsid w:val="6BC524A5"/>
    <w:rsid w:val="6BD10E4A"/>
    <w:rsid w:val="6BEB1F0C"/>
    <w:rsid w:val="6C2747CD"/>
    <w:rsid w:val="6C783074"/>
    <w:rsid w:val="6C8E6D3B"/>
    <w:rsid w:val="6CA33997"/>
    <w:rsid w:val="6CA67E59"/>
    <w:rsid w:val="6CB22A29"/>
    <w:rsid w:val="6CB73B9C"/>
    <w:rsid w:val="6CCB5899"/>
    <w:rsid w:val="6CE95D1F"/>
    <w:rsid w:val="6CED3A62"/>
    <w:rsid w:val="6D15191A"/>
    <w:rsid w:val="6D2E358B"/>
    <w:rsid w:val="6D303400"/>
    <w:rsid w:val="6D4713C4"/>
    <w:rsid w:val="6D54588F"/>
    <w:rsid w:val="6D8141AA"/>
    <w:rsid w:val="6D82064E"/>
    <w:rsid w:val="6D837F22"/>
    <w:rsid w:val="6D886E76"/>
    <w:rsid w:val="6DB93944"/>
    <w:rsid w:val="6DC347C2"/>
    <w:rsid w:val="6DC9627D"/>
    <w:rsid w:val="6DF130DE"/>
    <w:rsid w:val="6E076DA5"/>
    <w:rsid w:val="6E1119D2"/>
    <w:rsid w:val="6E3336F6"/>
    <w:rsid w:val="6E494CC8"/>
    <w:rsid w:val="6E4D6E0E"/>
    <w:rsid w:val="6E617465"/>
    <w:rsid w:val="6EA75E92"/>
    <w:rsid w:val="6EAE7221"/>
    <w:rsid w:val="6EC72090"/>
    <w:rsid w:val="6ECC76A7"/>
    <w:rsid w:val="6ED07197"/>
    <w:rsid w:val="6ED547AD"/>
    <w:rsid w:val="6F0B01CF"/>
    <w:rsid w:val="6F2B6AC3"/>
    <w:rsid w:val="6F547DC8"/>
    <w:rsid w:val="6F5778B8"/>
    <w:rsid w:val="6F6B6EC0"/>
    <w:rsid w:val="6FE50A20"/>
    <w:rsid w:val="6FED3D79"/>
    <w:rsid w:val="70194B6E"/>
    <w:rsid w:val="702754DC"/>
    <w:rsid w:val="7075449A"/>
    <w:rsid w:val="7099764F"/>
    <w:rsid w:val="70A408DB"/>
    <w:rsid w:val="70AC4C34"/>
    <w:rsid w:val="70B0102E"/>
    <w:rsid w:val="70D65108"/>
    <w:rsid w:val="70F51137"/>
    <w:rsid w:val="71092E34"/>
    <w:rsid w:val="71193077"/>
    <w:rsid w:val="712D267F"/>
    <w:rsid w:val="71333A0D"/>
    <w:rsid w:val="719646C8"/>
    <w:rsid w:val="71AA3CCF"/>
    <w:rsid w:val="71B27028"/>
    <w:rsid w:val="72005CD8"/>
    <w:rsid w:val="72035AD5"/>
    <w:rsid w:val="72165809"/>
    <w:rsid w:val="722021E3"/>
    <w:rsid w:val="726245AA"/>
    <w:rsid w:val="72671BC0"/>
    <w:rsid w:val="7278201F"/>
    <w:rsid w:val="72987FCC"/>
    <w:rsid w:val="72A72905"/>
    <w:rsid w:val="72B03567"/>
    <w:rsid w:val="72C74D55"/>
    <w:rsid w:val="72D80D10"/>
    <w:rsid w:val="72F86CBC"/>
    <w:rsid w:val="731358A4"/>
    <w:rsid w:val="731955B0"/>
    <w:rsid w:val="733046A8"/>
    <w:rsid w:val="73351CBE"/>
    <w:rsid w:val="73571C35"/>
    <w:rsid w:val="735A1725"/>
    <w:rsid w:val="735A34D3"/>
    <w:rsid w:val="736305DA"/>
    <w:rsid w:val="73691968"/>
    <w:rsid w:val="73702CF6"/>
    <w:rsid w:val="73840550"/>
    <w:rsid w:val="73B9644B"/>
    <w:rsid w:val="73BF77DA"/>
    <w:rsid w:val="740578E3"/>
    <w:rsid w:val="74273CFD"/>
    <w:rsid w:val="74277859"/>
    <w:rsid w:val="743326A2"/>
    <w:rsid w:val="74381A66"/>
    <w:rsid w:val="747D56CB"/>
    <w:rsid w:val="74820F33"/>
    <w:rsid w:val="74982505"/>
    <w:rsid w:val="749E5641"/>
    <w:rsid w:val="74A87897"/>
    <w:rsid w:val="74BD1F6B"/>
    <w:rsid w:val="74D06143"/>
    <w:rsid w:val="74F71921"/>
    <w:rsid w:val="74FF7D24"/>
    <w:rsid w:val="7501454E"/>
    <w:rsid w:val="75157FF9"/>
    <w:rsid w:val="752D5343"/>
    <w:rsid w:val="755C3532"/>
    <w:rsid w:val="757C5983"/>
    <w:rsid w:val="75AD0232"/>
    <w:rsid w:val="75E4177A"/>
    <w:rsid w:val="75EA4FE2"/>
    <w:rsid w:val="75F776FF"/>
    <w:rsid w:val="76037E52"/>
    <w:rsid w:val="760616F0"/>
    <w:rsid w:val="760A7432"/>
    <w:rsid w:val="76391AC6"/>
    <w:rsid w:val="763C3364"/>
    <w:rsid w:val="76790114"/>
    <w:rsid w:val="768A2321"/>
    <w:rsid w:val="76946CFC"/>
    <w:rsid w:val="76A5382A"/>
    <w:rsid w:val="76C23869"/>
    <w:rsid w:val="76E71522"/>
    <w:rsid w:val="770E6AAE"/>
    <w:rsid w:val="77183DD1"/>
    <w:rsid w:val="771A18F7"/>
    <w:rsid w:val="772269FE"/>
    <w:rsid w:val="773504DF"/>
    <w:rsid w:val="773F4EBA"/>
    <w:rsid w:val="77487339"/>
    <w:rsid w:val="774B7D02"/>
    <w:rsid w:val="775E5C88"/>
    <w:rsid w:val="777059BB"/>
    <w:rsid w:val="778154D2"/>
    <w:rsid w:val="7783749C"/>
    <w:rsid w:val="77876793"/>
    <w:rsid w:val="778E7BEF"/>
    <w:rsid w:val="77974CF6"/>
    <w:rsid w:val="779C67B0"/>
    <w:rsid w:val="77A967D7"/>
    <w:rsid w:val="77C11D73"/>
    <w:rsid w:val="77CD0717"/>
    <w:rsid w:val="77DF044B"/>
    <w:rsid w:val="77E51F05"/>
    <w:rsid w:val="77F13C27"/>
    <w:rsid w:val="78212811"/>
    <w:rsid w:val="78370287"/>
    <w:rsid w:val="784F55D0"/>
    <w:rsid w:val="7855070D"/>
    <w:rsid w:val="789456D9"/>
    <w:rsid w:val="7899684C"/>
    <w:rsid w:val="78C935D5"/>
    <w:rsid w:val="78DE6954"/>
    <w:rsid w:val="78F30652"/>
    <w:rsid w:val="790A599B"/>
    <w:rsid w:val="790C526F"/>
    <w:rsid w:val="792C76C0"/>
    <w:rsid w:val="793A050B"/>
    <w:rsid w:val="793D367B"/>
    <w:rsid w:val="794E7636"/>
    <w:rsid w:val="795A5FDB"/>
    <w:rsid w:val="799055DF"/>
    <w:rsid w:val="79BA4CCB"/>
    <w:rsid w:val="79C8563A"/>
    <w:rsid w:val="79C93160"/>
    <w:rsid w:val="79C97604"/>
    <w:rsid w:val="79E24222"/>
    <w:rsid w:val="7A101AC6"/>
    <w:rsid w:val="7A124B07"/>
    <w:rsid w:val="7AC540CB"/>
    <w:rsid w:val="7ACB4CB6"/>
    <w:rsid w:val="7AE56F93"/>
    <w:rsid w:val="7AEF4E49"/>
    <w:rsid w:val="7AF20495"/>
    <w:rsid w:val="7AF4245F"/>
    <w:rsid w:val="7AF67F85"/>
    <w:rsid w:val="7B2014A6"/>
    <w:rsid w:val="7B292109"/>
    <w:rsid w:val="7B3665D4"/>
    <w:rsid w:val="7B914152"/>
    <w:rsid w:val="7B971768"/>
    <w:rsid w:val="7BE00A6E"/>
    <w:rsid w:val="7BE02E34"/>
    <w:rsid w:val="7BF87D2D"/>
    <w:rsid w:val="7C643B5F"/>
    <w:rsid w:val="7C914409"/>
    <w:rsid w:val="7C966CA6"/>
    <w:rsid w:val="7CB225D2"/>
    <w:rsid w:val="7CB43C54"/>
    <w:rsid w:val="7CF752FF"/>
    <w:rsid w:val="7CF95B0B"/>
    <w:rsid w:val="7D060228"/>
    <w:rsid w:val="7D074568"/>
    <w:rsid w:val="7D094564"/>
    <w:rsid w:val="7D2A660C"/>
    <w:rsid w:val="7D2C7C8E"/>
    <w:rsid w:val="7D3134F6"/>
    <w:rsid w:val="7D43322A"/>
    <w:rsid w:val="7D4C20DE"/>
    <w:rsid w:val="7D6C452F"/>
    <w:rsid w:val="7D951CD7"/>
    <w:rsid w:val="7D9D6DDE"/>
    <w:rsid w:val="7DA77C5D"/>
    <w:rsid w:val="7DAA32A9"/>
    <w:rsid w:val="7DFB58B2"/>
    <w:rsid w:val="7DFF53A3"/>
    <w:rsid w:val="7E0B01EB"/>
    <w:rsid w:val="7E437985"/>
    <w:rsid w:val="7E527BC8"/>
    <w:rsid w:val="7E665422"/>
    <w:rsid w:val="7E7E1A49"/>
    <w:rsid w:val="7E7F0292"/>
    <w:rsid w:val="7E8A55B4"/>
    <w:rsid w:val="7E8F4979"/>
    <w:rsid w:val="7E9F0934"/>
    <w:rsid w:val="7EB20619"/>
    <w:rsid w:val="7ECF746B"/>
    <w:rsid w:val="7ED607F9"/>
    <w:rsid w:val="7EF90044"/>
    <w:rsid w:val="7EF96296"/>
    <w:rsid w:val="7F0D7F93"/>
    <w:rsid w:val="7F2C0419"/>
    <w:rsid w:val="7F475253"/>
    <w:rsid w:val="7F58120E"/>
    <w:rsid w:val="7F5D4A77"/>
    <w:rsid w:val="7F6000C3"/>
    <w:rsid w:val="7F6851CA"/>
    <w:rsid w:val="7F6A7194"/>
    <w:rsid w:val="7F736048"/>
    <w:rsid w:val="7F7731D8"/>
    <w:rsid w:val="7FAA7590"/>
    <w:rsid w:val="7FB977D3"/>
    <w:rsid w:val="7FC40652"/>
    <w:rsid w:val="7FD4460D"/>
    <w:rsid w:val="7FE44850"/>
    <w:rsid w:val="7FE72592"/>
    <w:rsid w:val="7FE900B8"/>
    <w:rsid w:val="7FE9455C"/>
    <w:rsid w:val="7FEB208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B61B23-5F29-49D0-9096-15BD72610BAD}">
  <ds:schemaRefs/>
</ds:datastoreItem>
</file>

<file path=docProps/app.xml><?xml version="1.0" encoding="utf-8"?>
<Properties xmlns="http://schemas.openxmlformats.org/officeDocument/2006/extended-properties" xmlns:vt="http://schemas.openxmlformats.org/officeDocument/2006/docPropsVTypes">
  <Template>Normal</Template>
  <Company>ITSK.com</Company>
  <Pages>4</Pages>
  <Words>299</Words>
  <Characters>1710</Characters>
  <Lines>14</Lines>
  <Paragraphs>4</Paragraphs>
  <TotalTime>11</TotalTime>
  <ScaleCrop>false</ScaleCrop>
  <LinksUpToDate>false</LinksUpToDate>
  <CharactersWithSpaces>2005</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2024-11-20T07:56:00Z</dcterms:created>
  <dc:creator>Asee</dc:creator>
  <cp:lastModifiedBy>Administrator</cp:lastModifiedBy>
  <cp:lastPrinted>2024-11-20T08:02:00Z</cp:lastPrinted>
  <dcterms:modified xsi:type="dcterms:W3CDTF">2024-11-21T00:21:01Z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68DD5EDF90904C70AD85C829ECB340E4_11</vt:lpwstr>
  </property>
</Properties>
</file>